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89" w:rsidRPr="0043685F" w:rsidRDefault="00630789" w:rsidP="001802FC">
      <w:pPr>
        <w:spacing w:after="0" w:line="240" w:lineRule="auto"/>
        <w:jc w:val="right"/>
        <w:rPr>
          <w:b/>
          <w:sz w:val="24"/>
          <w:szCs w:val="24"/>
          <w:lang w:val="en-US"/>
        </w:rPr>
      </w:pPr>
    </w:p>
    <w:p w:rsidR="008F1780" w:rsidRPr="0043685F" w:rsidRDefault="006853E5" w:rsidP="001802FC">
      <w:pPr>
        <w:spacing w:after="0" w:line="240" w:lineRule="auto"/>
        <w:jc w:val="center"/>
        <w:rPr>
          <w:b/>
          <w:sz w:val="24"/>
          <w:szCs w:val="24"/>
          <w:lang w:val="en-US"/>
        </w:rPr>
      </w:pPr>
      <w:r w:rsidRPr="0043685F">
        <w:rPr>
          <w:b/>
          <w:sz w:val="24"/>
          <w:szCs w:val="24"/>
          <w:lang w:val="en-US"/>
        </w:rPr>
        <w:t>S</w:t>
      </w:r>
      <w:r w:rsidR="00630789" w:rsidRPr="0043685F">
        <w:rPr>
          <w:b/>
          <w:sz w:val="24"/>
          <w:szCs w:val="24"/>
          <w:lang w:val="en-US"/>
        </w:rPr>
        <w:t xml:space="preserve">cientific and </w:t>
      </w:r>
      <w:r w:rsidRPr="0043685F">
        <w:rPr>
          <w:b/>
          <w:sz w:val="24"/>
          <w:szCs w:val="24"/>
          <w:lang w:val="en-US"/>
        </w:rPr>
        <w:t>T</w:t>
      </w:r>
      <w:r w:rsidR="00630789" w:rsidRPr="0043685F">
        <w:rPr>
          <w:b/>
          <w:sz w:val="24"/>
          <w:szCs w:val="24"/>
          <w:lang w:val="en-US"/>
        </w:rPr>
        <w:t xml:space="preserve">echnical </w:t>
      </w:r>
      <w:r w:rsidRPr="0043685F">
        <w:rPr>
          <w:b/>
          <w:sz w:val="24"/>
          <w:szCs w:val="24"/>
          <w:lang w:val="en-US"/>
        </w:rPr>
        <w:t>R</w:t>
      </w:r>
      <w:r w:rsidR="00630789" w:rsidRPr="0043685F">
        <w:rPr>
          <w:b/>
          <w:sz w:val="24"/>
          <w:szCs w:val="24"/>
          <w:lang w:val="en-US"/>
        </w:rPr>
        <w:t xml:space="preserve">eview </w:t>
      </w:r>
      <w:r w:rsidRPr="0043685F">
        <w:rPr>
          <w:b/>
          <w:sz w:val="24"/>
          <w:szCs w:val="24"/>
          <w:lang w:val="en-US"/>
        </w:rPr>
        <w:t>P</w:t>
      </w:r>
      <w:r w:rsidR="00630789" w:rsidRPr="0043685F">
        <w:rPr>
          <w:b/>
          <w:sz w:val="24"/>
          <w:szCs w:val="24"/>
          <w:lang w:val="en-US"/>
        </w:rPr>
        <w:t>anel</w:t>
      </w:r>
      <w:r w:rsidR="00D36AE7" w:rsidRPr="0043685F">
        <w:rPr>
          <w:b/>
          <w:sz w:val="24"/>
          <w:szCs w:val="24"/>
          <w:lang w:val="en-US"/>
        </w:rPr>
        <w:t xml:space="preserve"> (STRP)</w:t>
      </w:r>
      <w:r w:rsidR="00492FA3" w:rsidRPr="0043685F">
        <w:rPr>
          <w:b/>
          <w:sz w:val="24"/>
          <w:szCs w:val="24"/>
          <w:lang w:val="en-US"/>
        </w:rPr>
        <w:t xml:space="preserve"> </w:t>
      </w:r>
      <w:r w:rsidRPr="0043685F">
        <w:rPr>
          <w:b/>
          <w:sz w:val="24"/>
          <w:szCs w:val="24"/>
          <w:lang w:val="en-US"/>
        </w:rPr>
        <w:t xml:space="preserve">Literature </w:t>
      </w:r>
      <w:r w:rsidR="003207C6" w:rsidRPr="0043685F">
        <w:rPr>
          <w:b/>
          <w:sz w:val="24"/>
          <w:szCs w:val="24"/>
          <w:lang w:val="en-US"/>
        </w:rPr>
        <w:t>Survey</w:t>
      </w:r>
    </w:p>
    <w:p w:rsidR="006853E5" w:rsidRPr="0043685F" w:rsidRDefault="008F1780" w:rsidP="001802FC">
      <w:pPr>
        <w:spacing w:after="0" w:line="240" w:lineRule="auto"/>
        <w:jc w:val="center"/>
        <w:rPr>
          <w:b/>
          <w:sz w:val="24"/>
          <w:szCs w:val="24"/>
          <w:lang w:val="en-US"/>
        </w:rPr>
      </w:pPr>
      <w:r w:rsidRPr="0043685F">
        <w:rPr>
          <w:b/>
          <w:sz w:val="24"/>
          <w:szCs w:val="24"/>
          <w:lang w:val="en-US"/>
        </w:rPr>
        <w:t>2019 update</w:t>
      </w:r>
    </w:p>
    <w:p w:rsidR="00F70F12" w:rsidRPr="00C94273" w:rsidRDefault="00F70F12" w:rsidP="001802FC">
      <w:pPr>
        <w:spacing w:after="0" w:line="240" w:lineRule="auto"/>
        <w:jc w:val="center"/>
        <w:rPr>
          <w:rFonts w:cs="Arial"/>
          <w:b/>
          <w:sz w:val="20"/>
          <w:szCs w:val="20"/>
        </w:rPr>
      </w:pPr>
    </w:p>
    <w:p w:rsidR="00A62D14" w:rsidRPr="00B07DA1" w:rsidRDefault="00385CCE" w:rsidP="001802FC">
      <w:pPr>
        <w:pStyle w:val="Default"/>
        <w:rPr>
          <w:rFonts w:asciiTheme="minorHAnsi" w:hAnsiTheme="minorHAnsi"/>
          <w:b/>
        </w:rPr>
      </w:pPr>
      <w:r w:rsidRPr="00B07DA1">
        <w:rPr>
          <w:rFonts w:asciiTheme="minorHAnsi" w:hAnsiTheme="minorHAnsi"/>
          <w:b/>
        </w:rPr>
        <w:t xml:space="preserve">Note: </w:t>
      </w:r>
    </w:p>
    <w:p w:rsidR="00D63C40" w:rsidRPr="00C94273" w:rsidRDefault="00D63C40" w:rsidP="001802FC">
      <w:pPr>
        <w:pStyle w:val="Default"/>
        <w:rPr>
          <w:rFonts w:asciiTheme="minorHAnsi" w:hAnsiTheme="minorHAnsi"/>
          <w:b/>
          <w:sz w:val="22"/>
          <w:szCs w:val="22"/>
        </w:rPr>
      </w:pPr>
    </w:p>
    <w:p w:rsidR="00F214C5" w:rsidRPr="00B07DA1" w:rsidRDefault="00D63C40" w:rsidP="001802FC">
      <w:pPr>
        <w:pStyle w:val="Default"/>
        <w:rPr>
          <w:rFonts w:asciiTheme="minorHAnsi" w:hAnsiTheme="minorHAnsi"/>
          <w:sz w:val="22"/>
          <w:szCs w:val="22"/>
        </w:rPr>
      </w:pPr>
      <w:r w:rsidRPr="00B07DA1">
        <w:rPr>
          <w:rFonts w:asciiTheme="minorHAnsi" w:hAnsiTheme="minorHAnsi"/>
          <w:sz w:val="22"/>
          <w:szCs w:val="22"/>
        </w:rPr>
        <w:t xml:space="preserve">Resolution XII.5: </w:t>
      </w:r>
      <w:r w:rsidRPr="00B07DA1">
        <w:rPr>
          <w:rFonts w:asciiTheme="minorHAnsi" w:hAnsiTheme="minorHAnsi"/>
          <w:i/>
          <w:sz w:val="22"/>
          <w:szCs w:val="22"/>
        </w:rPr>
        <w:t>New framework for delivery of scientific and technical advice and guidance on the Convention</w:t>
      </w:r>
      <w:r w:rsidRPr="00B07DA1">
        <w:rPr>
          <w:rFonts w:asciiTheme="minorHAnsi" w:hAnsiTheme="minorHAnsi"/>
          <w:sz w:val="22"/>
          <w:szCs w:val="22"/>
        </w:rPr>
        <w:t xml:space="preserve"> requests that in developing its work plan, the STRP undertakes  “a literature survey of available STRP guidance and other relevant information” and consults “with STRP National Focal Points, the Secretariat CEPA programme and the Senior Regional Advisors, who will be responsible for securing data and information from their respective regions’ Administrative Authorities and National Focal Points”.  The aim of the survey is to ensure that there is no duplication of efforts within the STRP work plan, as well as to identify gaps.</w:t>
      </w:r>
      <w:r w:rsidR="00F214C5" w:rsidRPr="00B07DA1">
        <w:rPr>
          <w:rFonts w:asciiTheme="minorHAnsi" w:hAnsiTheme="minorHAnsi"/>
          <w:sz w:val="22"/>
          <w:szCs w:val="22"/>
        </w:rPr>
        <w:t xml:space="preserve"> The STRP is, thus, requested to undertake a survey this triennium when developing its work plan. </w:t>
      </w:r>
    </w:p>
    <w:p w:rsidR="00F214C5" w:rsidRPr="00B07DA1" w:rsidRDefault="00F214C5" w:rsidP="001802FC">
      <w:pPr>
        <w:pStyle w:val="Default"/>
        <w:rPr>
          <w:rFonts w:asciiTheme="minorHAnsi" w:hAnsiTheme="minorHAnsi"/>
          <w:sz w:val="22"/>
          <w:szCs w:val="22"/>
        </w:rPr>
      </w:pPr>
    </w:p>
    <w:p w:rsidR="004443EE" w:rsidRPr="00B07DA1" w:rsidRDefault="00F214C5" w:rsidP="001802FC">
      <w:pPr>
        <w:pStyle w:val="Default"/>
        <w:rPr>
          <w:rFonts w:asciiTheme="minorHAnsi" w:hAnsiTheme="minorHAnsi"/>
          <w:sz w:val="22"/>
          <w:szCs w:val="22"/>
        </w:rPr>
      </w:pPr>
      <w:r w:rsidRPr="00B07DA1">
        <w:rPr>
          <w:rFonts w:asciiTheme="minorHAnsi" w:hAnsiTheme="minorHAnsi"/>
          <w:sz w:val="22"/>
          <w:szCs w:val="22"/>
        </w:rPr>
        <w:t xml:space="preserve">In the interest of time and </w:t>
      </w:r>
      <w:r w:rsidR="00B07DA1" w:rsidRPr="00B07DA1">
        <w:rPr>
          <w:rFonts w:asciiTheme="minorHAnsi" w:hAnsiTheme="minorHAnsi"/>
          <w:sz w:val="22"/>
          <w:szCs w:val="22"/>
        </w:rPr>
        <w:t>owing to the</w:t>
      </w:r>
      <w:r w:rsidRPr="00B07DA1">
        <w:rPr>
          <w:rFonts w:asciiTheme="minorHAnsi" w:hAnsiTheme="minorHAnsi"/>
          <w:sz w:val="22"/>
          <w:szCs w:val="22"/>
        </w:rPr>
        <w:t xml:space="preserve"> tight timelines, </w:t>
      </w:r>
      <w:r w:rsidR="00B07DA1" w:rsidRPr="00B07DA1">
        <w:rPr>
          <w:sz w:val="22"/>
          <w:szCs w:val="22"/>
        </w:rPr>
        <w:t>the literature survey has been updated on the basis of work undertaken by the Panel in 2016-2018</w:t>
      </w:r>
      <w:r w:rsidRPr="00B07DA1">
        <w:rPr>
          <w:rFonts w:asciiTheme="minorHAnsi" w:hAnsiTheme="minorHAnsi"/>
          <w:sz w:val="22"/>
          <w:szCs w:val="22"/>
        </w:rPr>
        <w:t>. The</w:t>
      </w:r>
      <w:r w:rsidR="00F92D36" w:rsidRPr="00B07DA1">
        <w:rPr>
          <w:rFonts w:asciiTheme="minorHAnsi" w:hAnsiTheme="minorHAnsi"/>
          <w:sz w:val="22"/>
          <w:szCs w:val="22"/>
        </w:rPr>
        <w:t xml:space="preserve"> survey is</w:t>
      </w:r>
      <w:r w:rsidR="00B07DA1" w:rsidRPr="00B07DA1">
        <w:rPr>
          <w:rFonts w:asciiTheme="minorHAnsi" w:hAnsiTheme="minorHAnsi"/>
          <w:sz w:val="22"/>
          <w:szCs w:val="22"/>
        </w:rPr>
        <w:t xml:space="preserve"> being</w:t>
      </w:r>
      <w:r w:rsidR="00F92D36" w:rsidRPr="00B07DA1">
        <w:rPr>
          <w:rFonts w:asciiTheme="minorHAnsi" w:hAnsiTheme="minorHAnsi"/>
          <w:sz w:val="22"/>
          <w:szCs w:val="22"/>
        </w:rPr>
        <w:t xml:space="preserve"> circulated for consultation, along with the draf</w:t>
      </w:r>
      <w:r w:rsidR="0043685F">
        <w:rPr>
          <w:rFonts w:asciiTheme="minorHAnsi" w:hAnsiTheme="minorHAnsi"/>
          <w:sz w:val="22"/>
          <w:szCs w:val="22"/>
        </w:rPr>
        <w:t xml:space="preserve">t STRP work plan (2019-2021). </w:t>
      </w:r>
      <w:r w:rsidR="00F92D36" w:rsidRPr="00B07DA1">
        <w:rPr>
          <w:rFonts w:asciiTheme="minorHAnsi" w:hAnsiTheme="minorHAnsi"/>
          <w:sz w:val="22"/>
          <w:szCs w:val="22"/>
        </w:rPr>
        <w:t>Inputs from the</w:t>
      </w:r>
      <w:r w:rsidRPr="00B07DA1">
        <w:rPr>
          <w:rFonts w:asciiTheme="minorHAnsi" w:hAnsiTheme="minorHAnsi"/>
          <w:sz w:val="22"/>
          <w:szCs w:val="22"/>
        </w:rPr>
        <w:t xml:space="preserve"> consultation process will be integrated into the draft work plan and</w:t>
      </w:r>
      <w:r w:rsidR="00F92D36" w:rsidRPr="00B07DA1">
        <w:rPr>
          <w:rFonts w:asciiTheme="minorHAnsi" w:hAnsiTheme="minorHAnsi"/>
          <w:sz w:val="22"/>
          <w:szCs w:val="22"/>
        </w:rPr>
        <w:t xml:space="preserve"> the</w:t>
      </w:r>
      <w:r w:rsidRPr="00B07DA1">
        <w:rPr>
          <w:rFonts w:asciiTheme="minorHAnsi" w:hAnsiTheme="minorHAnsi"/>
          <w:sz w:val="22"/>
          <w:szCs w:val="22"/>
        </w:rPr>
        <w:t xml:space="preserve"> literature survey, which will be presented at the 57th meeting of the Standing Committee</w:t>
      </w:r>
      <w:r w:rsidR="00F92D36" w:rsidRPr="00B07DA1">
        <w:rPr>
          <w:rFonts w:asciiTheme="minorHAnsi" w:hAnsiTheme="minorHAnsi"/>
          <w:sz w:val="22"/>
          <w:szCs w:val="22"/>
        </w:rPr>
        <w:t xml:space="preserve"> (June 2019)</w:t>
      </w:r>
      <w:r w:rsidRPr="00B07DA1">
        <w:rPr>
          <w:rFonts w:asciiTheme="minorHAnsi" w:hAnsiTheme="minorHAnsi"/>
          <w:sz w:val="22"/>
          <w:szCs w:val="22"/>
        </w:rPr>
        <w:t xml:space="preserve">. </w:t>
      </w:r>
    </w:p>
    <w:p w:rsidR="001802FC" w:rsidRPr="00C94273" w:rsidRDefault="001802FC">
      <w:pPr>
        <w:rPr>
          <w:sz w:val="20"/>
          <w:szCs w:val="20"/>
        </w:rPr>
        <w:sectPr w:rsidR="001802FC" w:rsidRPr="00C94273" w:rsidSect="001802FC">
          <w:headerReference w:type="default" r:id="rId8"/>
          <w:footerReference w:type="default" r:id="rId9"/>
          <w:pgSz w:w="11906" w:h="16838"/>
          <w:pgMar w:top="1440" w:right="1440" w:bottom="1440" w:left="1440" w:header="708" w:footer="708" w:gutter="0"/>
          <w:cols w:space="708"/>
          <w:titlePg/>
          <w:docGrid w:linePitch="360"/>
        </w:sectPr>
      </w:pPr>
      <w:r w:rsidRPr="00C94273">
        <w:rPr>
          <w:sz w:val="20"/>
          <w:szCs w:val="20"/>
        </w:rPr>
        <w:br w:type="page"/>
      </w:r>
    </w:p>
    <w:tbl>
      <w:tblPr>
        <w:tblStyle w:val="TableGrid"/>
        <w:tblW w:w="0" w:type="auto"/>
        <w:tblInd w:w="-34" w:type="dxa"/>
        <w:tblLayout w:type="fixed"/>
        <w:tblCellMar>
          <w:top w:w="57" w:type="dxa"/>
          <w:bottom w:w="57" w:type="dxa"/>
        </w:tblCellMar>
        <w:tblLook w:val="04A0" w:firstRow="1" w:lastRow="0" w:firstColumn="1" w:lastColumn="0" w:noHBand="0" w:noVBand="1"/>
      </w:tblPr>
      <w:tblGrid>
        <w:gridCol w:w="3101"/>
        <w:gridCol w:w="1294"/>
        <w:gridCol w:w="2126"/>
        <w:gridCol w:w="1418"/>
        <w:gridCol w:w="1134"/>
        <w:gridCol w:w="5103"/>
      </w:tblGrid>
      <w:tr w:rsidR="009E1083" w:rsidRPr="00C94273" w:rsidTr="0043685F">
        <w:trPr>
          <w:cantSplit/>
        </w:trPr>
        <w:tc>
          <w:tcPr>
            <w:tcW w:w="14176" w:type="dxa"/>
            <w:gridSpan w:val="6"/>
            <w:shd w:val="clear" w:color="auto" w:fill="FDE9D9" w:themeFill="accent6" w:themeFillTint="33"/>
          </w:tcPr>
          <w:p w:rsidR="009E1083" w:rsidRPr="00C94273" w:rsidRDefault="009E1083" w:rsidP="001802FC">
            <w:pPr>
              <w:jc w:val="center"/>
              <w:rPr>
                <w:rFonts w:cs="Arial"/>
                <w:b/>
                <w:sz w:val="20"/>
                <w:szCs w:val="20"/>
              </w:rPr>
            </w:pPr>
            <w:r w:rsidRPr="00C94273">
              <w:rPr>
                <w:rFonts w:cs="Arial"/>
                <w:b/>
                <w:sz w:val="20"/>
                <w:szCs w:val="20"/>
              </w:rPr>
              <w:lastRenderedPageBreak/>
              <w:t>Thematic Work Area</w:t>
            </w:r>
            <w:r w:rsidR="008B31F7" w:rsidRPr="00C94273">
              <w:rPr>
                <w:rFonts w:cs="Arial"/>
                <w:b/>
                <w:sz w:val="20"/>
                <w:szCs w:val="20"/>
              </w:rPr>
              <w:t xml:space="preserve"> No.1</w:t>
            </w:r>
            <w:r w:rsidRPr="00C94273">
              <w:rPr>
                <w:rFonts w:cs="Arial"/>
                <w:b/>
                <w:sz w:val="20"/>
                <w:szCs w:val="20"/>
              </w:rPr>
              <w:t xml:space="preserve">: </w:t>
            </w:r>
            <w:r w:rsidR="00A62D14" w:rsidRPr="00C94273">
              <w:rPr>
                <w:b/>
                <w:sz w:val="20"/>
                <w:szCs w:val="20"/>
              </w:rPr>
              <w:t>Best practice methodologies / tools to identify and monitor Ramsar Sites and other wetlands, including surveying, mapping, inventorying, and global and regional analysis of the priorities for enhancing the Ramsar site network</w:t>
            </w:r>
          </w:p>
        </w:tc>
      </w:tr>
      <w:tr w:rsidR="006853E5" w:rsidRPr="00C94273" w:rsidTr="0043685F">
        <w:trPr>
          <w:cantSplit/>
        </w:trPr>
        <w:tc>
          <w:tcPr>
            <w:tcW w:w="3101" w:type="dxa"/>
            <w:shd w:val="clear" w:color="auto" w:fill="FDE9D9" w:themeFill="accent6" w:themeFillTint="33"/>
            <w:vAlign w:val="center"/>
          </w:tcPr>
          <w:p w:rsidR="006853E5" w:rsidRPr="00C94273" w:rsidRDefault="0095101B" w:rsidP="00833F2A">
            <w:pPr>
              <w:jc w:val="center"/>
              <w:rPr>
                <w:rFonts w:cs="Arial"/>
                <w:b/>
                <w:sz w:val="20"/>
                <w:szCs w:val="20"/>
              </w:rPr>
            </w:pPr>
            <w:r w:rsidRPr="00C94273">
              <w:rPr>
                <w:rFonts w:cs="Arial"/>
                <w:b/>
                <w:sz w:val="20"/>
                <w:szCs w:val="20"/>
              </w:rPr>
              <w:t>Title</w:t>
            </w:r>
          </w:p>
        </w:tc>
        <w:tc>
          <w:tcPr>
            <w:tcW w:w="1294" w:type="dxa"/>
            <w:shd w:val="clear" w:color="auto" w:fill="FDE9D9" w:themeFill="accent6" w:themeFillTint="33"/>
            <w:vAlign w:val="center"/>
          </w:tcPr>
          <w:p w:rsidR="006853E5" w:rsidRPr="00C94273" w:rsidRDefault="006853E5" w:rsidP="00833F2A">
            <w:pPr>
              <w:jc w:val="center"/>
              <w:rPr>
                <w:rFonts w:cs="Arial"/>
                <w:b/>
                <w:sz w:val="20"/>
                <w:szCs w:val="20"/>
              </w:rPr>
            </w:pPr>
            <w:r w:rsidRPr="00C94273">
              <w:rPr>
                <w:rFonts w:cs="Arial"/>
                <w:b/>
                <w:sz w:val="20"/>
                <w:szCs w:val="20"/>
              </w:rPr>
              <w:t>Ty</w:t>
            </w:r>
            <w:r w:rsidR="00E35FB9" w:rsidRPr="00C94273">
              <w:rPr>
                <w:rFonts w:cs="Arial"/>
                <w:b/>
                <w:sz w:val="20"/>
                <w:szCs w:val="20"/>
              </w:rPr>
              <w:t>pe of guidance</w:t>
            </w:r>
          </w:p>
        </w:tc>
        <w:tc>
          <w:tcPr>
            <w:tcW w:w="2126" w:type="dxa"/>
            <w:shd w:val="clear" w:color="auto" w:fill="FDE9D9" w:themeFill="accent6" w:themeFillTint="33"/>
            <w:vAlign w:val="center"/>
          </w:tcPr>
          <w:p w:rsidR="006853E5" w:rsidRPr="00C94273" w:rsidRDefault="006853E5" w:rsidP="00833F2A">
            <w:pPr>
              <w:jc w:val="center"/>
              <w:rPr>
                <w:rFonts w:cs="Arial"/>
                <w:b/>
                <w:sz w:val="20"/>
                <w:szCs w:val="20"/>
              </w:rPr>
            </w:pPr>
            <w:r w:rsidRPr="00C94273">
              <w:rPr>
                <w:rFonts w:cs="Arial"/>
                <w:b/>
                <w:sz w:val="20"/>
                <w:szCs w:val="20"/>
              </w:rPr>
              <w:t>Target audience (practitioner</w:t>
            </w:r>
            <w:r w:rsidR="00A7029F" w:rsidRPr="00C94273">
              <w:rPr>
                <w:rFonts w:cs="Arial"/>
                <w:b/>
                <w:sz w:val="20"/>
                <w:szCs w:val="20"/>
              </w:rPr>
              <w:t>s, policymakers, scientists)</w:t>
            </w:r>
          </w:p>
        </w:tc>
        <w:tc>
          <w:tcPr>
            <w:tcW w:w="1418" w:type="dxa"/>
            <w:shd w:val="clear" w:color="auto" w:fill="FDE9D9" w:themeFill="accent6" w:themeFillTint="33"/>
            <w:vAlign w:val="center"/>
          </w:tcPr>
          <w:p w:rsidR="006853E5" w:rsidRPr="00C94273" w:rsidRDefault="00A7029F" w:rsidP="00833F2A">
            <w:pPr>
              <w:jc w:val="center"/>
              <w:rPr>
                <w:rFonts w:cs="Arial"/>
                <w:b/>
                <w:sz w:val="20"/>
                <w:szCs w:val="20"/>
              </w:rPr>
            </w:pPr>
            <w:r w:rsidRPr="00C94273">
              <w:rPr>
                <w:rFonts w:cs="Arial"/>
                <w:b/>
                <w:sz w:val="20"/>
                <w:szCs w:val="20"/>
              </w:rPr>
              <w:t>Ramsar Handbook</w:t>
            </w:r>
            <w:r w:rsidR="005D5E35" w:rsidRPr="00C94273">
              <w:rPr>
                <w:rFonts w:cs="Arial"/>
                <w:b/>
                <w:sz w:val="20"/>
                <w:szCs w:val="20"/>
              </w:rPr>
              <w:t xml:space="preserve"> (4</w:t>
            </w:r>
            <w:r w:rsidR="005D5E35" w:rsidRPr="00C94273">
              <w:rPr>
                <w:rFonts w:cs="Arial"/>
                <w:b/>
                <w:sz w:val="20"/>
                <w:szCs w:val="20"/>
                <w:vertAlign w:val="superscript"/>
              </w:rPr>
              <w:t>th</w:t>
            </w:r>
            <w:r w:rsidR="005D5E35" w:rsidRPr="00C94273">
              <w:rPr>
                <w:rFonts w:cs="Arial"/>
                <w:b/>
                <w:sz w:val="20"/>
                <w:szCs w:val="20"/>
              </w:rPr>
              <w:t xml:space="preserve"> ed.)</w:t>
            </w:r>
          </w:p>
        </w:tc>
        <w:tc>
          <w:tcPr>
            <w:tcW w:w="1134" w:type="dxa"/>
            <w:shd w:val="clear" w:color="auto" w:fill="FDE9D9" w:themeFill="accent6" w:themeFillTint="33"/>
            <w:vAlign w:val="center"/>
          </w:tcPr>
          <w:p w:rsidR="006853E5" w:rsidRPr="00C94273" w:rsidRDefault="00A7029F" w:rsidP="00833F2A">
            <w:pPr>
              <w:jc w:val="center"/>
              <w:rPr>
                <w:rFonts w:cs="Arial"/>
                <w:b/>
                <w:sz w:val="20"/>
                <w:szCs w:val="20"/>
              </w:rPr>
            </w:pPr>
            <w:r w:rsidRPr="00C94273">
              <w:rPr>
                <w:rFonts w:cs="Arial"/>
                <w:b/>
                <w:sz w:val="20"/>
                <w:szCs w:val="20"/>
              </w:rPr>
              <w:t>Language</w:t>
            </w:r>
            <w:r w:rsidR="009E1083" w:rsidRPr="00C94273">
              <w:rPr>
                <w:rStyle w:val="FootnoteReference"/>
                <w:rFonts w:cs="Arial"/>
                <w:b/>
                <w:sz w:val="20"/>
                <w:szCs w:val="20"/>
              </w:rPr>
              <w:footnoteReference w:id="1"/>
            </w:r>
          </w:p>
        </w:tc>
        <w:tc>
          <w:tcPr>
            <w:tcW w:w="5103" w:type="dxa"/>
            <w:shd w:val="clear" w:color="auto" w:fill="FDE9D9" w:themeFill="accent6" w:themeFillTint="33"/>
            <w:vAlign w:val="center"/>
          </w:tcPr>
          <w:p w:rsidR="006853E5" w:rsidRPr="00C94273" w:rsidRDefault="00776522" w:rsidP="00833F2A">
            <w:pPr>
              <w:jc w:val="center"/>
              <w:rPr>
                <w:rFonts w:cs="Arial"/>
                <w:b/>
                <w:sz w:val="20"/>
                <w:szCs w:val="20"/>
              </w:rPr>
            </w:pPr>
            <w:r w:rsidRPr="00C94273">
              <w:rPr>
                <w:rFonts w:cs="Arial"/>
                <w:b/>
                <w:sz w:val="20"/>
                <w:szCs w:val="20"/>
              </w:rPr>
              <w:t>Notes</w:t>
            </w:r>
          </w:p>
        </w:tc>
      </w:tr>
      <w:tr w:rsidR="0095101B" w:rsidRPr="00C94273" w:rsidTr="00F37463">
        <w:trPr>
          <w:cantSplit/>
        </w:trPr>
        <w:tc>
          <w:tcPr>
            <w:tcW w:w="14176" w:type="dxa"/>
            <w:gridSpan w:val="6"/>
            <w:shd w:val="clear" w:color="auto" w:fill="F2F2F2" w:themeFill="background1" w:themeFillShade="F2"/>
          </w:tcPr>
          <w:p w:rsidR="0095101B" w:rsidRPr="00C94273" w:rsidRDefault="0095101B" w:rsidP="001802FC">
            <w:pPr>
              <w:jc w:val="center"/>
              <w:rPr>
                <w:b/>
                <w:sz w:val="20"/>
                <w:szCs w:val="20"/>
              </w:rPr>
            </w:pPr>
            <w:r w:rsidRPr="00C94273">
              <w:rPr>
                <w:b/>
                <w:sz w:val="20"/>
                <w:szCs w:val="20"/>
              </w:rPr>
              <w:t>Ramsar guidance</w:t>
            </w:r>
          </w:p>
        </w:tc>
      </w:tr>
      <w:tr w:rsidR="00947298" w:rsidRPr="00C94273" w:rsidTr="0043685F">
        <w:trPr>
          <w:cantSplit/>
        </w:trPr>
        <w:tc>
          <w:tcPr>
            <w:tcW w:w="14176" w:type="dxa"/>
            <w:gridSpan w:val="6"/>
            <w:shd w:val="clear" w:color="auto" w:fill="FDE9D9" w:themeFill="accent6" w:themeFillTint="33"/>
          </w:tcPr>
          <w:p w:rsidR="00947298" w:rsidRPr="00C94273" w:rsidRDefault="00947298" w:rsidP="001802FC">
            <w:pPr>
              <w:rPr>
                <w:b/>
                <w:sz w:val="20"/>
                <w:szCs w:val="20"/>
                <w:lang w:val="en-AU"/>
              </w:rPr>
            </w:pPr>
            <w:r w:rsidRPr="00C94273">
              <w:rPr>
                <w:b/>
                <w:sz w:val="20"/>
                <w:szCs w:val="20"/>
                <w:lang w:val="en-AU"/>
              </w:rPr>
              <w:t>2016-2019 update</w:t>
            </w:r>
          </w:p>
        </w:tc>
      </w:tr>
      <w:tr w:rsidR="00F70F12" w:rsidRPr="00C94273" w:rsidTr="00762B18">
        <w:trPr>
          <w:cantSplit/>
        </w:trPr>
        <w:tc>
          <w:tcPr>
            <w:tcW w:w="3101" w:type="dxa"/>
          </w:tcPr>
          <w:p w:rsidR="00F70F12" w:rsidRPr="00C94273" w:rsidRDefault="001E728F" w:rsidP="001802FC">
            <w:pPr>
              <w:rPr>
                <w:sz w:val="20"/>
                <w:szCs w:val="20"/>
              </w:rPr>
            </w:pPr>
            <w:hyperlink r:id="rId10" w:history="1">
              <w:r w:rsidR="00F70F12" w:rsidRPr="00C94273">
                <w:rPr>
                  <w:rStyle w:val="Hyperlink"/>
                  <w:sz w:val="20"/>
                  <w:szCs w:val="20"/>
                </w:rPr>
                <w:t>Ramsar Briefing Note 9: Guidelines for inventories of tropical peatlands to facilitate their designation as Ramsar Sites</w:t>
              </w:r>
            </w:hyperlink>
          </w:p>
        </w:tc>
        <w:tc>
          <w:tcPr>
            <w:tcW w:w="1294" w:type="dxa"/>
          </w:tcPr>
          <w:p w:rsidR="00F70F12" w:rsidRPr="00C94273" w:rsidRDefault="00F70F12" w:rsidP="001802FC">
            <w:pPr>
              <w:rPr>
                <w:rFonts w:cs="Arial"/>
                <w:sz w:val="20"/>
                <w:szCs w:val="20"/>
              </w:rPr>
            </w:pPr>
            <w:r w:rsidRPr="00C94273">
              <w:rPr>
                <w:rFonts w:cs="Arial"/>
                <w:sz w:val="20"/>
                <w:szCs w:val="20"/>
              </w:rPr>
              <w:t xml:space="preserve">Technical </w:t>
            </w:r>
          </w:p>
        </w:tc>
        <w:tc>
          <w:tcPr>
            <w:tcW w:w="2126" w:type="dxa"/>
          </w:tcPr>
          <w:p w:rsidR="00F70F12" w:rsidRPr="00C94273" w:rsidRDefault="00F70F12" w:rsidP="001802FC">
            <w:pPr>
              <w:rPr>
                <w:rFonts w:cs="Arial"/>
                <w:sz w:val="20"/>
                <w:szCs w:val="20"/>
              </w:rPr>
            </w:pPr>
            <w:r w:rsidRPr="00C94273">
              <w:rPr>
                <w:rFonts w:cs="Arial"/>
                <w:sz w:val="20"/>
                <w:szCs w:val="20"/>
              </w:rPr>
              <w:t xml:space="preserve">Practitioners </w:t>
            </w:r>
          </w:p>
        </w:tc>
        <w:tc>
          <w:tcPr>
            <w:tcW w:w="1418" w:type="dxa"/>
          </w:tcPr>
          <w:p w:rsidR="00F70F12" w:rsidRPr="00C94273" w:rsidRDefault="00F70F12" w:rsidP="001802FC">
            <w:pPr>
              <w:rPr>
                <w:sz w:val="20"/>
                <w:szCs w:val="20"/>
              </w:rPr>
            </w:pPr>
          </w:p>
        </w:tc>
        <w:tc>
          <w:tcPr>
            <w:tcW w:w="1134" w:type="dxa"/>
          </w:tcPr>
          <w:p w:rsidR="00F70F12" w:rsidRPr="00C94273" w:rsidRDefault="0044295B" w:rsidP="001802FC">
            <w:pPr>
              <w:rPr>
                <w:sz w:val="20"/>
                <w:szCs w:val="20"/>
              </w:rPr>
            </w:pPr>
            <w:r w:rsidRPr="00C94273">
              <w:rPr>
                <w:sz w:val="20"/>
                <w:szCs w:val="20"/>
              </w:rPr>
              <w:t>EF</w:t>
            </w:r>
            <w:r w:rsidR="00F70F12" w:rsidRPr="00C94273">
              <w:rPr>
                <w:sz w:val="20"/>
                <w:szCs w:val="20"/>
              </w:rPr>
              <w:t>S</w:t>
            </w:r>
          </w:p>
        </w:tc>
        <w:tc>
          <w:tcPr>
            <w:tcW w:w="5103" w:type="dxa"/>
          </w:tcPr>
          <w:p w:rsidR="00F70F12" w:rsidRPr="00C94273" w:rsidRDefault="00F70F12" w:rsidP="001802FC">
            <w:pPr>
              <w:rPr>
                <w:sz w:val="20"/>
                <w:szCs w:val="20"/>
              </w:rPr>
            </w:pPr>
            <w:r w:rsidRPr="00C94273">
              <w:rPr>
                <w:sz w:val="20"/>
                <w:szCs w:val="20"/>
                <w:lang w:val="en-AU"/>
              </w:rPr>
              <w:t xml:space="preserve">Summary:  The </w:t>
            </w:r>
            <w:r w:rsidR="00B35441" w:rsidRPr="00C94273">
              <w:rPr>
                <w:sz w:val="20"/>
                <w:szCs w:val="20"/>
                <w:lang w:val="en-AU"/>
              </w:rPr>
              <w:t>“</w:t>
            </w:r>
            <w:r w:rsidRPr="00C94273">
              <w:rPr>
                <w:sz w:val="20"/>
                <w:szCs w:val="20"/>
              </w:rPr>
              <w:t>Briefing Note aims to support wetland managers in tropical countries by providing step-by-step guidance on how to identify, select and inventory tropical peatlands for their possible designation as Ramsar Sites, using Ramsar Sites designation Criterion 1 (if a peatland is “a representative, rare, or unique example of a natural or near-natural wetland type”) including an argument about climate regulation and carbon storage capacity, and Criterion 2 (if a peatland “supports vulnerable, endangered, or critically endangered species or threatened ecological communities”)</w:t>
            </w:r>
            <w:r w:rsidR="00B35441" w:rsidRPr="00C94273">
              <w:rPr>
                <w:sz w:val="20"/>
                <w:szCs w:val="20"/>
              </w:rPr>
              <w:t>”</w:t>
            </w:r>
            <w:r w:rsidRPr="00C94273">
              <w:rPr>
                <w:sz w:val="20"/>
                <w:szCs w:val="20"/>
              </w:rPr>
              <w:t>.</w:t>
            </w:r>
          </w:p>
        </w:tc>
      </w:tr>
      <w:tr w:rsidR="00F70F12" w:rsidRPr="00C94273" w:rsidTr="00762B18">
        <w:trPr>
          <w:cantSplit/>
        </w:trPr>
        <w:tc>
          <w:tcPr>
            <w:tcW w:w="3101" w:type="dxa"/>
          </w:tcPr>
          <w:p w:rsidR="00F70F12" w:rsidRPr="00C94273" w:rsidRDefault="001E728F" w:rsidP="001802FC">
            <w:pPr>
              <w:rPr>
                <w:sz w:val="20"/>
                <w:szCs w:val="20"/>
              </w:rPr>
            </w:pPr>
            <w:hyperlink r:id="rId11" w:history="1">
              <w:r w:rsidR="00F70F12" w:rsidRPr="00C94273">
                <w:rPr>
                  <w:rStyle w:val="Hyperlink"/>
                  <w:sz w:val="20"/>
                  <w:szCs w:val="20"/>
                </w:rPr>
                <w:t>Ramsar Technical Report 10: The use of Earth Observation for wetland inventory, assessment and monitoring</w:t>
              </w:r>
            </w:hyperlink>
          </w:p>
        </w:tc>
        <w:tc>
          <w:tcPr>
            <w:tcW w:w="1294" w:type="dxa"/>
          </w:tcPr>
          <w:p w:rsidR="00F70F12" w:rsidRPr="00C94273" w:rsidRDefault="00F70F12" w:rsidP="001802FC">
            <w:pPr>
              <w:rPr>
                <w:rFonts w:cs="Arial"/>
                <w:sz w:val="20"/>
                <w:szCs w:val="20"/>
              </w:rPr>
            </w:pPr>
            <w:r w:rsidRPr="00C94273">
              <w:rPr>
                <w:rFonts w:cs="Arial"/>
                <w:sz w:val="20"/>
                <w:szCs w:val="20"/>
              </w:rPr>
              <w:t>Technical</w:t>
            </w:r>
          </w:p>
        </w:tc>
        <w:tc>
          <w:tcPr>
            <w:tcW w:w="2126" w:type="dxa"/>
          </w:tcPr>
          <w:p w:rsidR="00F70F12" w:rsidRPr="00C94273" w:rsidRDefault="00F70F12" w:rsidP="001802FC">
            <w:pPr>
              <w:rPr>
                <w:rFonts w:cs="Arial"/>
                <w:sz w:val="20"/>
                <w:szCs w:val="20"/>
              </w:rPr>
            </w:pPr>
            <w:r w:rsidRPr="00C94273">
              <w:rPr>
                <w:rFonts w:cs="Arial"/>
                <w:sz w:val="20"/>
                <w:szCs w:val="20"/>
              </w:rPr>
              <w:t>Practitioners</w:t>
            </w:r>
          </w:p>
        </w:tc>
        <w:tc>
          <w:tcPr>
            <w:tcW w:w="1418" w:type="dxa"/>
          </w:tcPr>
          <w:p w:rsidR="00F70F12" w:rsidRPr="00C94273" w:rsidRDefault="00F70F12" w:rsidP="001802FC">
            <w:pPr>
              <w:rPr>
                <w:sz w:val="20"/>
                <w:szCs w:val="20"/>
              </w:rPr>
            </w:pPr>
          </w:p>
        </w:tc>
        <w:tc>
          <w:tcPr>
            <w:tcW w:w="1134" w:type="dxa"/>
          </w:tcPr>
          <w:p w:rsidR="00F70F12" w:rsidRPr="00C94273" w:rsidRDefault="00F70F12" w:rsidP="001802FC">
            <w:pPr>
              <w:rPr>
                <w:sz w:val="20"/>
                <w:szCs w:val="20"/>
              </w:rPr>
            </w:pPr>
            <w:r w:rsidRPr="00C94273">
              <w:rPr>
                <w:sz w:val="20"/>
                <w:szCs w:val="20"/>
              </w:rPr>
              <w:t>E</w:t>
            </w:r>
          </w:p>
        </w:tc>
        <w:tc>
          <w:tcPr>
            <w:tcW w:w="5103" w:type="dxa"/>
          </w:tcPr>
          <w:p w:rsidR="00F70F12" w:rsidRPr="00C94273" w:rsidRDefault="00F70F12" w:rsidP="001802FC">
            <w:pPr>
              <w:rPr>
                <w:sz w:val="20"/>
                <w:szCs w:val="20"/>
              </w:rPr>
            </w:pPr>
            <w:r w:rsidRPr="00C94273">
              <w:rPr>
                <w:sz w:val="20"/>
                <w:szCs w:val="20"/>
              </w:rPr>
              <w:t xml:space="preserve">Summary: The Report </w:t>
            </w:r>
            <w:r w:rsidR="00B35441" w:rsidRPr="00C94273">
              <w:rPr>
                <w:sz w:val="20"/>
                <w:szCs w:val="20"/>
              </w:rPr>
              <w:t>“</w:t>
            </w:r>
            <w:r w:rsidRPr="00C94273">
              <w:rPr>
                <w:sz w:val="20"/>
                <w:szCs w:val="20"/>
              </w:rPr>
              <w:t>provides an overview of the application of Earth Observation technologies that are currently being used to support implementation of the Convention, including contributing to its Fourth Strategic Plan (2016-2024), a number of current case studies are presented</w:t>
            </w:r>
            <w:r w:rsidR="00B35441" w:rsidRPr="00C94273">
              <w:rPr>
                <w:sz w:val="20"/>
                <w:szCs w:val="20"/>
              </w:rPr>
              <w:t>”</w:t>
            </w:r>
            <w:r w:rsidRPr="00C94273">
              <w:rPr>
                <w:sz w:val="20"/>
                <w:szCs w:val="20"/>
              </w:rPr>
              <w:t>.</w:t>
            </w:r>
          </w:p>
        </w:tc>
      </w:tr>
      <w:tr w:rsidR="00947298" w:rsidRPr="00C94273" w:rsidTr="0043685F">
        <w:trPr>
          <w:cantSplit/>
        </w:trPr>
        <w:tc>
          <w:tcPr>
            <w:tcW w:w="14176" w:type="dxa"/>
            <w:gridSpan w:val="6"/>
            <w:shd w:val="clear" w:color="auto" w:fill="FDE9D9" w:themeFill="accent6" w:themeFillTint="33"/>
          </w:tcPr>
          <w:p w:rsidR="00947298" w:rsidRPr="00C94273" w:rsidRDefault="00947298" w:rsidP="001802FC">
            <w:pPr>
              <w:rPr>
                <w:b/>
                <w:sz w:val="20"/>
                <w:szCs w:val="20"/>
              </w:rPr>
            </w:pPr>
            <w:r w:rsidRPr="00C94273">
              <w:rPr>
                <w:b/>
                <w:sz w:val="20"/>
                <w:szCs w:val="20"/>
              </w:rPr>
              <w:t>Up to 2015</w:t>
            </w:r>
          </w:p>
        </w:tc>
      </w:tr>
      <w:tr w:rsidR="00F70F12" w:rsidRPr="00C94273" w:rsidTr="00762B18">
        <w:trPr>
          <w:cantSplit/>
        </w:trPr>
        <w:tc>
          <w:tcPr>
            <w:tcW w:w="3101" w:type="dxa"/>
          </w:tcPr>
          <w:p w:rsidR="00F70F12" w:rsidRPr="00C94273" w:rsidRDefault="001E728F" w:rsidP="001802FC">
            <w:pPr>
              <w:rPr>
                <w:sz w:val="20"/>
                <w:szCs w:val="20"/>
              </w:rPr>
            </w:pPr>
            <w:hyperlink r:id="rId12" w:history="1">
              <w:r w:rsidR="00F70F12" w:rsidRPr="00C94273">
                <w:rPr>
                  <w:rStyle w:val="Hyperlink"/>
                  <w:sz w:val="20"/>
                  <w:szCs w:val="20"/>
                </w:rPr>
                <w:t>Resolution XII.15: Evaluation of the management and conservation effectiveness of Ramsar Sites</w:t>
              </w:r>
            </w:hyperlink>
          </w:p>
        </w:tc>
        <w:tc>
          <w:tcPr>
            <w:tcW w:w="1294" w:type="dxa"/>
          </w:tcPr>
          <w:p w:rsidR="00F70F12" w:rsidRPr="00C94273" w:rsidRDefault="00F70F12" w:rsidP="001802FC">
            <w:pPr>
              <w:rPr>
                <w:rFonts w:cs="Arial"/>
                <w:sz w:val="20"/>
                <w:szCs w:val="20"/>
              </w:rPr>
            </w:pPr>
            <w:r w:rsidRPr="00C94273">
              <w:rPr>
                <w:rFonts w:cs="Arial"/>
                <w:sz w:val="20"/>
                <w:szCs w:val="20"/>
              </w:rPr>
              <w:t>Technical</w:t>
            </w:r>
          </w:p>
        </w:tc>
        <w:tc>
          <w:tcPr>
            <w:tcW w:w="2126" w:type="dxa"/>
          </w:tcPr>
          <w:p w:rsidR="00F70F12" w:rsidRPr="00C94273" w:rsidRDefault="00F70F12" w:rsidP="001802FC">
            <w:pPr>
              <w:rPr>
                <w:rFonts w:cs="Arial"/>
                <w:sz w:val="20"/>
                <w:szCs w:val="20"/>
              </w:rPr>
            </w:pPr>
            <w:r w:rsidRPr="00C94273">
              <w:rPr>
                <w:rFonts w:cs="Arial"/>
                <w:sz w:val="20"/>
                <w:szCs w:val="20"/>
              </w:rPr>
              <w:t>Practitioners</w:t>
            </w:r>
          </w:p>
        </w:tc>
        <w:tc>
          <w:tcPr>
            <w:tcW w:w="1418" w:type="dxa"/>
          </w:tcPr>
          <w:p w:rsidR="00F70F12" w:rsidRPr="00C94273" w:rsidRDefault="00F70F12" w:rsidP="001802FC">
            <w:pPr>
              <w:rPr>
                <w:sz w:val="20"/>
                <w:szCs w:val="20"/>
              </w:rPr>
            </w:pPr>
            <w:r w:rsidRPr="00C94273">
              <w:rPr>
                <w:sz w:val="20"/>
                <w:szCs w:val="20"/>
              </w:rPr>
              <w:t>Not yet included in a Handbook</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13" w:history="1">
              <w:r w:rsidR="00F70F12" w:rsidRPr="00C94273">
                <w:rPr>
                  <w:rStyle w:val="Hyperlink"/>
                  <w:sz w:val="20"/>
                  <w:szCs w:val="20"/>
                </w:rPr>
                <w:t>Resolution XI.12: Wetlands and health: taking an ecosystem approach</w:t>
              </w:r>
            </w:hyperlink>
          </w:p>
        </w:tc>
        <w:tc>
          <w:tcPr>
            <w:tcW w:w="1294" w:type="dxa"/>
          </w:tcPr>
          <w:p w:rsidR="00F70F12" w:rsidRPr="00C94273" w:rsidRDefault="00F70F12" w:rsidP="001802FC">
            <w:pPr>
              <w:rPr>
                <w:rFonts w:cs="Arial"/>
                <w:sz w:val="20"/>
                <w:szCs w:val="20"/>
              </w:rPr>
            </w:pPr>
            <w:r w:rsidRPr="00C94273">
              <w:rPr>
                <w:rFonts w:cs="Arial"/>
                <w:sz w:val="20"/>
                <w:szCs w:val="20"/>
              </w:rPr>
              <w:t>Technical</w:t>
            </w:r>
          </w:p>
        </w:tc>
        <w:tc>
          <w:tcPr>
            <w:tcW w:w="2126" w:type="dxa"/>
          </w:tcPr>
          <w:p w:rsidR="00F70F12" w:rsidRPr="00C94273" w:rsidRDefault="00F70F12" w:rsidP="001802FC">
            <w:pPr>
              <w:rPr>
                <w:rFonts w:cs="Arial"/>
                <w:sz w:val="20"/>
                <w:szCs w:val="20"/>
              </w:rPr>
            </w:pPr>
            <w:r w:rsidRPr="00C94273">
              <w:rPr>
                <w:rFonts w:cs="Arial"/>
                <w:sz w:val="20"/>
                <w:szCs w:val="20"/>
              </w:rPr>
              <w:t>Policymakers, practitioners</w:t>
            </w:r>
          </w:p>
        </w:tc>
        <w:tc>
          <w:tcPr>
            <w:tcW w:w="1418" w:type="dxa"/>
          </w:tcPr>
          <w:p w:rsidR="00F70F12" w:rsidRPr="00C94273" w:rsidRDefault="00F70F12" w:rsidP="001802FC">
            <w:pPr>
              <w:rPr>
                <w:sz w:val="20"/>
                <w:szCs w:val="20"/>
              </w:rPr>
            </w:pPr>
            <w:r w:rsidRPr="00C94273">
              <w:rPr>
                <w:sz w:val="20"/>
                <w:szCs w:val="20"/>
              </w:rPr>
              <w:t>Not yet included in a Handbook</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lang w:val="en-AU"/>
              </w:rPr>
            </w:pPr>
          </w:p>
        </w:tc>
      </w:tr>
      <w:tr w:rsidR="00F70F12" w:rsidRPr="00C94273" w:rsidTr="00762B18">
        <w:trPr>
          <w:cantSplit/>
        </w:trPr>
        <w:tc>
          <w:tcPr>
            <w:tcW w:w="3101" w:type="dxa"/>
          </w:tcPr>
          <w:p w:rsidR="00F70F12" w:rsidRPr="00C94273" w:rsidRDefault="001E728F" w:rsidP="001802FC">
            <w:pPr>
              <w:rPr>
                <w:sz w:val="20"/>
                <w:szCs w:val="20"/>
              </w:rPr>
            </w:pPr>
            <w:hyperlink r:id="rId14" w:history="1">
              <w:r w:rsidR="00F70F12" w:rsidRPr="00C94273">
                <w:rPr>
                  <w:rStyle w:val="Hyperlink"/>
                  <w:sz w:val="20"/>
                  <w:szCs w:val="20"/>
                </w:rPr>
                <w:t>Resolution X.15: Describing the ecological character of wetlands, and data needs and formats for core inventory: harmonized scientific and technical guidance</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1802FC" w:rsidP="001802FC">
            <w:pPr>
              <w:rPr>
                <w:sz w:val="20"/>
                <w:szCs w:val="20"/>
              </w:rPr>
            </w:pPr>
            <w:r w:rsidRPr="00C94273">
              <w:rPr>
                <w:sz w:val="20"/>
                <w:szCs w:val="20"/>
              </w:rPr>
              <w:t>13, 15, 14, 18, 19</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color w:val="0000FF" w:themeColor="hyperlink"/>
                <w:sz w:val="20"/>
                <w:szCs w:val="20"/>
                <w:u w:val="single"/>
              </w:rPr>
            </w:pPr>
          </w:p>
        </w:tc>
      </w:tr>
      <w:tr w:rsidR="00F70F12" w:rsidRPr="00C94273" w:rsidTr="00762B18">
        <w:trPr>
          <w:cantSplit/>
        </w:trPr>
        <w:tc>
          <w:tcPr>
            <w:tcW w:w="3101" w:type="dxa"/>
          </w:tcPr>
          <w:p w:rsidR="00F70F12" w:rsidRPr="00C94273" w:rsidRDefault="001E728F" w:rsidP="001802FC">
            <w:pPr>
              <w:rPr>
                <w:sz w:val="20"/>
                <w:szCs w:val="20"/>
              </w:rPr>
            </w:pPr>
            <w:hyperlink r:id="rId15" w:history="1">
              <w:r w:rsidR="00F70F12" w:rsidRPr="00C94273">
                <w:rPr>
                  <w:rStyle w:val="Hyperlink"/>
                  <w:sz w:val="20"/>
                  <w:szCs w:val="20"/>
                </w:rPr>
                <w:t>Resolution X.16: A Framework for processes of detecting, reporting and responding to change in wetland ecological character</w:t>
              </w:r>
            </w:hyperlink>
          </w:p>
        </w:tc>
        <w:tc>
          <w:tcPr>
            <w:tcW w:w="1294" w:type="dxa"/>
          </w:tcPr>
          <w:p w:rsidR="00F70F12" w:rsidRPr="00C94273" w:rsidRDefault="00F70F12" w:rsidP="001802FC">
            <w:pPr>
              <w:rPr>
                <w:rFonts w:cs="Arial"/>
                <w:sz w:val="20"/>
                <w:szCs w:val="20"/>
              </w:rPr>
            </w:pPr>
            <w:r w:rsidRPr="00C94273">
              <w:rPr>
                <w:rFonts w:cs="Arial"/>
                <w:sz w:val="20"/>
                <w:szCs w:val="20"/>
              </w:rPr>
              <w:t>Technical</w:t>
            </w:r>
          </w:p>
        </w:tc>
        <w:tc>
          <w:tcPr>
            <w:tcW w:w="2126" w:type="dxa"/>
          </w:tcPr>
          <w:p w:rsidR="00F70F12" w:rsidRPr="00C94273" w:rsidRDefault="00F70F12" w:rsidP="001802FC">
            <w:pPr>
              <w:rPr>
                <w:rFonts w:cs="Arial"/>
                <w:sz w:val="20"/>
                <w:szCs w:val="20"/>
              </w:rPr>
            </w:pPr>
            <w:r w:rsidRPr="00C94273">
              <w:rPr>
                <w:rFonts w:cs="Arial"/>
                <w:sz w:val="20"/>
                <w:szCs w:val="20"/>
              </w:rPr>
              <w:t>Practitioners, policymakers</w:t>
            </w:r>
          </w:p>
        </w:tc>
        <w:tc>
          <w:tcPr>
            <w:tcW w:w="1418" w:type="dxa"/>
          </w:tcPr>
          <w:p w:rsidR="00F70F12" w:rsidRPr="00C94273" w:rsidRDefault="00F70F12" w:rsidP="001802FC">
            <w:pPr>
              <w:rPr>
                <w:sz w:val="20"/>
                <w:szCs w:val="20"/>
              </w:rPr>
            </w:pPr>
            <w:r w:rsidRPr="00C94273">
              <w:rPr>
                <w:sz w:val="20"/>
                <w:szCs w:val="20"/>
              </w:rPr>
              <w:t>13, 14, 16, 19,</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16" w:history="1">
              <w:r w:rsidR="00F70F12" w:rsidRPr="00C94273">
                <w:rPr>
                  <w:rStyle w:val="Hyperlink"/>
                  <w:sz w:val="20"/>
                  <w:szCs w:val="20"/>
                </w:rPr>
                <w:t>Resolution X.21: Guidance on responding to the continued spread of highly pathogenic avian influenza</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F70F12" w:rsidP="001802FC">
            <w:pPr>
              <w:rPr>
                <w:rFonts w:cs="Arial"/>
                <w:sz w:val="20"/>
                <w:szCs w:val="20"/>
              </w:rPr>
            </w:pPr>
            <w:r w:rsidRPr="00C94273">
              <w:rPr>
                <w:rFonts w:cs="Arial"/>
                <w:sz w:val="20"/>
                <w:szCs w:val="20"/>
              </w:rPr>
              <w:t>Scientist</w:t>
            </w:r>
            <w:r w:rsidR="001802FC" w:rsidRPr="00C94273">
              <w:rPr>
                <w:rFonts w:cs="Arial"/>
                <w:sz w:val="20"/>
                <w:szCs w:val="20"/>
              </w:rPr>
              <w:t>s</w:t>
            </w:r>
          </w:p>
        </w:tc>
        <w:tc>
          <w:tcPr>
            <w:tcW w:w="1418" w:type="dxa"/>
          </w:tcPr>
          <w:p w:rsidR="00F70F12" w:rsidRPr="00C94273" w:rsidRDefault="00F70F12" w:rsidP="001802FC">
            <w:pPr>
              <w:rPr>
                <w:sz w:val="20"/>
                <w:szCs w:val="20"/>
              </w:rPr>
            </w:pPr>
            <w:r w:rsidRPr="00C94273">
              <w:rPr>
                <w:sz w:val="20"/>
                <w:szCs w:val="20"/>
              </w:rPr>
              <w:t>4, 1</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17" w:history="1">
              <w:r w:rsidR="00F70F12" w:rsidRPr="00C94273">
                <w:rPr>
                  <w:rStyle w:val="Hyperlink"/>
                  <w:sz w:val="20"/>
                  <w:szCs w:val="20"/>
                </w:rPr>
                <w:t>Resolution IX.1, Annex D: Ecological “outcome-oriented“ indicators for assessing the implementation effectiveness of the Ramsar Convention</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policymakers</w:t>
            </w:r>
          </w:p>
        </w:tc>
        <w:tc>
          <w:tcPr>
            <w:tcW w:w="1418" w:type="dxa"/>
          </w:tcPr>
          <w:p w:rsidR="00F70F12" w:rsidRPr="00C94273" w:rsidRDefault="00F70F12" w:rsidP="001802FC">
            <w:pPr>
              <w:rPr>
                <w:sz w:val="20"/>
                <w:szCs w:val="20"/>
              </w:rPr>
            </w:pPr>
            <w:r w:rsidRPr="00C94273">
              <w:rPr>
                <w:sz w:val="20"/>
                <w:szCs w:val="20"/>
              </w:rPr>
              <w:t>11, 13</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18" w:history="1">
              <w:r w:rsidR="00F70F12" w:rsidRPr="00C94273">
                <w:rPr>
                  <w:rStyle w:val="Hyperlink"/>
                  <w:sz w:val="20"/>
                  <w:szCs w:val="20"/>
                </w:rPr>
                <w:t>Resolution IX.1, Annex E: An Integrated Framework for wetland inventory, assessment and monitoring (IF-WIAM)</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F70F12" w:rsidP="001802FC">
            <w:pPr>
              <w:rPr>
                <w:sz w:val="20"/>
                <w:szCs w:val="20"/>
              </w:rPr>
            </w:pPr>
            <w:r w:rsidRPr="00C94273">
              <w:rPr>
                <w:sz w:val="20"/>
                <w:szCs w:val="20"/>
              </w:rPr>
              <w:t>13, 14, 15, 18</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19" w:history="1">
              <w:r w:rsidR="00F70F12" w:rsidRPr="00C94273">
                <w:rPr>
                  <w:rStyle w:val="Hyperlink"/>
                  <w:sz w:val="20"/>
                  <w:szCs w:val="20"/>
                </w:rPr>
                <w:t xml:space="preserve">Resolution IX.1, Annex </w:t>
              </w:r>
              <w:proofErr w:type="spellStart"/>
              <w:r w:rsidR="00F70F12" w:rsidRPr="00C94273">
                <w:rPr>
                  <w:rStyle w:val="Hyperlink"/>
                  <w:sz w:val="20"/>
                  <w:szCs w:val="20"/>
                </w:rPr>
                <w:t>Ei</w:t>
              </w:r>
              <w:proofErr w:type="spellEnd"/>
              <w:r w:rsidR="00F70F12" w:rsidRPr="00C94273">
                <w:rPr>
                  <w:rStyle w:val="Hyperlink"/>
                  <w:sz w:val="20"/>
                  <w:szCs w:val="20"/>
                </w:rPr>
                <w:t>: Guidelines for the rapid assessment of inland, coastal and marine wetland biodiversity</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F70F12" w:rsidP="001802FC">
            <w:pPr>
              <w:rPr>
                <w:sz w:val="20"/>
                <w:szCs w:val="20"/>
              </w:rPr>
            </w:pPr>
            <w:r w:rsidRPr="00C94273">
              <w:rPr>
                <w:sz w:val="20"/>
                <w:szCs w:val="20"/>
              </w:rPr>
              <w:t>1, 13</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20" w:history="1">
              <w:r w:rsidR="00F70F12" w:rsidRPr="00C94273">
                <w:rPr>
                  <w:rStyle w:val="Hyperlink"/>
                  <w:sz w:val="20"/>
                  <w:szCs w:val="20"/>
                </w:rPr>
                <w:t>Resolution VIII.6: A Ramsar Framework for Wetland Inventory</w:t>
              </w:r>
            </w:hyperlink>
          </w:p>
        </w:tc>
        <w:tc>
          <w:tcPr>
            <w:tcW w:w="1294" w:type="dxa"/>
          </w:tcPr>
          <w:p w:rsidR="00F70F12" w:rsidRPr="00C94273" w:rsidRDefault="00F70F12" w:rsidP="001802FC">
            <w:pPr>
              <w:rPr>
                <w:rFonts w:cs="Arial"/>
                <w:sz w:val="20"/>
                <w:szCs w:val="20"/>
              </w:rPr>
            </w:pPr>
            <w:r w:rsidRPr="00C94273">
              <w:rPr>
                <w:rFonts w:cs="Arial"/>
                <w:sz w:val="20"/>
                <w:szCs w:val="20"/>
              </w:rPr>
              <w:t>Technical</w:t>
            </w:r>
          </w:p>
        </w:tc>
        <w:tc>
          <w:tcPr>
            <w:tcW w:w="2126" w:type="dxa"/>
          </w:tcPr>
          <w:p w:rsidR="00F70F12" w:rsidRPr="00C94273" w:rsidRDefault="00F70F12" w:rsidP="001802FC">
            <w:pPr>
              <w:rPr>
                <w:rFonts w:cs="Arial"/>
                <w:sz w:val="20"/>
                <w:szCs w:val="20"/>
              </w:rPr>
            </w:pPr>
            <w:r w:rsidRPr="00C94273">
              <w:rPr>
                <w:rFonts w:cs="Arial"/>
                <w:sz w:val="20"/>
                <w:szCs w:val="20"/>
              </w:rPr>
              <w:t>Practitioners, policymakers</w:t>
            </w:r>
          </w:p>
        </w:tc>
        <w:tc>
          <w:tcPr>
            <w:tcW w:w="1418" w:type="dxa"/>
          </w:tcPr>
          <w:p w:rsidR="00F70F12" w:rsidRPr="00C94273" w:rsidRDefault="00F70F12" w:rsidP="001802FC">
            <w:pPr>
              <w:rPr>
                <w:sz w:val="20"/>
                <w:szCs w:val="20"/>
              </w:rPr>
            </w:pPr>
            <w:r w:rsidRPr="00C94273">
              <w:rPr>
                <w:sz w:val="20"/>
                <w:szCs w:val="20"/>
              </w:rPr>
              <w:t>14, 15, 13</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21" w:history="1">
              <w:r w:rsidR="00F70F12" w:rsidRPr="00C94273">
                <w:rPr>
                  <w:rStyle w:val="Hyperlink"/>
                  <w:sz w:val="20"/>
                  <w:szCs w:val="20"/>
                </w:rPr>
                <w:t>Resolution VII.10: Wetland Risk Assessment Framework</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F70F12" w:rsidP="001802FC">
            <w:pPr>
              <w:rPr>
                <w:sz w:val="20"/>
                <w:szCs w:val="20"/>
              </w:rPr>
            </w:pPr>
            <w:r w:rsidRPr="00C94273">
              <w:rPr>
                <w:sz w:val="20"/>
                <w:szCs w:val="20"/>
              </w:rPr>
              <w:t>18, 13</w:t>
            </w: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rFonts w:cs="Arial"/>
                <w:sz w:val="20"/>
                <w:szCs w:val="20"/>
              </w:rPr>
            </w:pPr>
          </w:p>
        </w:tc>
      </w:tr>
      <w:tr w:rsidR="00F70F12" w:rsidRPr="00C94273" w:rsidTr="00762B18">
        <w:trPr>
          <w:cantSplit/>
        </w:trPr>
        <w:tc>
          <w:tcPr>
            <w:tcW w:w="3101" w:type="dxa"/>
          </w:tcPr>
          <w:p w:rsidR="00F70F12" w:rsidRPr="00C94273" w:rsidRDefault="001E728F" w:rsidP="001802FC">
            <w:pPr>
              <w:rPr>
                <w:sz w:val="20"/>
                <w:szCs w:val="20"/>
              </w:rPr>
            </w:pPr>
            <w:hyperlink r:id="rId22" w:history="1">
              <w:r w:rsidR="00F70F12" w:rsidRPr="00C94273">
                <w:rPr>
                  <w:rStyle w:val="Hyperlink"/>
                  <w:sz w:val="20"/>
                  <w:szCs w:val="20"/>
                </w:rPr>
                <w:t>COP11 DOC. 24: Limits of Acceptable Change</w:t>
              </w:r>
            </w:hyperlink>
            <w:r w:rsidR="00F70F12" w:rsidRPr="00C94273">
              <w:rPr>
                <w:sz w:val="20"/>
                <w:szCs w:val="20"/>
              </w:rPr>
              <w:t xml:space="preserve"> (Resolution XI.4 the Status of Sites in the List of Wetlands of International Importance.)</w:t>
            </w:r>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F70F12" w:rsidP="001802FC">
            <w:pPr>
              <w:rPr>
                <w:rFonts w:cs="Arial"/>
                <w:sz w:val="20"/>
                <w:szCs w:val="20"/>
              </w:rPr>
            </w:pPr>
            <w:r w:rsidRPr="00C94273">
              <w:rPr>
                <w:sz w:val="20"/>
                <w:szCs w:val="20"/>
              </w:rPr>
              <w:t>Not included in a Handbook</w:t>
            </w:r>
          </w:p>
        </w:tc>
        <w:tc>
          <w:tcPr>
            <w:tcW w:w="1134" w:type="dxa"/>
          </w:tcPr>
          <w:p w:rsidR="00F70F12" w:rsidRPr="00C94273" w:rsidRDefault="00F70F12" w:rsidP="001802FC">
            <w:pPr>
              <w:rPr>
                <w:sz w:val="20"/>
                <w:szCs w:val="20"/>
              </w:rPr>
            </w:pPr>
            <w:r w:rsidRPr="00C94273">
              <w:rPr>
                <w:sz w:val="20"/>
                <w:szCs w:val="20"/>
              </w:rPr>
              <w:t>E</w:t>
            </w:r>
          </w:p>
        </w:tc>
        <w:tc>
          <w:tcPr>
            <w:tcW w:w="5103" w:type="dxa"/>
          </w:tcPr>
          <w:p w:rsidR="00F70F12" w:rsidRPr="00C94273" w:rsidRDefault="00F70F12" w:rsidP="001802FC">
            <w:pPr>
              <w:rPr>
                <w:rFonts w:cs="Arial"/>
                <w:sz w:val="20"/>
                <w:szCs w:val="20"/>
              </w:rPr>
            </w:pPr>
            <w:r w:rsidRPr="00C94273">
              <w:rPr>
                <w:rFonts w:cs="Arial"/>
                <w:sz w:val="20"/>
                <w:szCs w:val="20"/>
                <w:u w:val="single"/>
              </w:rPr>
              <w:t>Summary:</w:t>
            </w:r>
            <w:r w:rsidRPr="00C94273">
              <w:rPr>
                <w:rFonts w:cs="Arial"/>
                <w:sz w:val="20"/>
                <w:szCs w:val="20"/>
              </w:rPr>
              <w:t xml:space="preserve"> “This paper gives a broad overview of existing approaches and other considerations concerning the definition and operation of concepts and approaches for ‘limits of acceptable change’ (LAC) which may be applicable to the Ramsar context of defining and detecting change in the ecological character of wetlands, as required by Article 3.2.”</w:t>
            </w:r>
          </w:p>
        </w:tc>
      </w:tr>
      <w:tr w:rsidR="00F70F12" w:rsidRPr="00C94273" w:rsidTr="00762B18">
        <w:trPr>
          <w:cantSplit/>
        </w:trPr>
        <w:tc>
          <w:tcPr>
            <w:tcW w:w="3101" w:type="dxa"/>
          </w:tcPr>
          <w:p w:rsidR="00F70F12" w:rsidRPr="00C94273" w:rsidRDefault="001E728F" w:rsidP="001802FC">
            <w:pPr>
              <w:rPr>
                <w:rStyle w:val="Hyperlink"/>
                <w:sz w:val="20"/>
                <w:szCs w:val="20"/>
              </w:rPr>
            </w:pPr>
            <w:hyperlink r:id="rId23" w:history="1">
              <w:r w:rsidR="00F70F12" w:rsidRPr="00C94273">
                <w:rPr>
                  <w:rStyle w:val="Hyperlink"/>
                  <w:sz w:val="20"/>
                  <w:szCs w:val="20"/>
                </w:rPr>
                <w:t>DOC. SC35-4: Activities with International Organization Partners “Watching the Wetlands”</w:t>
              </w:r>
            </w:hyperlink>
          </w:p>
          <w:p w:rsidR="00F70F12" w:rsidRPr="00C94273" w:rsidRDefault="00F70F12" w:rsidP="001802FC">
            <w:pPr>
              <w:rPr>
                <w:sz w:val="20"/>
                <w:szCs w:val="20"/>
              </w:rPr>
            </w:pPr>
          </w:p>
        </w:tc>
        <w:tc>
          <w:tcPr>
            <w:tcW w:w="1294" w:type="dxa"/>
          </w:tcPr>
          <w:p w:rsidR="00F70F12" w:rsidRPr="00C94273" w:rsidRDefault="00F70F12" w:rsidP="001802FC">
            <w:pPr>
              <w:rPr>
                <w:rFonts w:cs="Arial"/>
                <w:sz w:val="20"/>
                <w:szCs w:val="20"/>
              </w:rPr>
            </w:pPr>
          </w:p>
        </w:tc>
        <w:tc>
          <w:tcPr>
            <w:tcW w:w="2126" w:type="dxa"/>
          </w:tcPr>
          <w:p w:rsidR="00F70F12" w:rsidRPr="00C94273" w:rsidRDefault="00F70F12" w:rsidP="001802FC">
            <w:pPr>
              <w:rPr>
                <w:rFonts w:cs="Arial"/>
                <w:sz w:val="20"/>
                <w:szCs w:val="20"/>
              </w:rPr>
            </w:pPr>
          </w:p>
        </w:tc>
        <w:tc>
          <w:tcPr>
            <w:tcW w:w="1418" w:type="dxa"/>
          </w:tcPr>
          <w:p w:rsidR="00F70F12" w:rsidRPr="00C94273" w:rsidRDefault="00F70F12" w:rsidP="001802FC">
            <w:pPr>
              <w:rPr>
                <w:rFonts w:cs="Arial"/>
                <w:sz w:val="20"/>
                <w:szCs w:val="20"/>
              </w:rPr>
            </w:pPr>
          </w:p>
        </w:tc>
        <w:tc>
          <w:tcPr>
            <w:tcW w:w="1134" w:type="dxa"/>
          </w:tcPr>
          <w:p w:rsidR="00F70F12" w:rsidRPr="00C94273" w:rsidRDefault="00F70F12" w:rsidP="001802FC">
            <w:pPr>
              <w:rPr>
                <w:sz w:val="20"/>
                <w:szCs w:val="20"/>
              </w:rPr>
            </w:pPr>
          </w:p>
        </w:tc>
        <w:tc>
          <w:tcPr>
            <w:tcW w:w="5103" w:type="dxa"/>
          </w:tcPr>
          <w:p w:rsidR="00F70F12" w:rsidRPr="00C94273" w:rsidRDefault="00F70F12" w:rsidP="001802FC">
            <w:pPr>
              <w:rPr>
                <w:rFonts w:cs="Arial"/>
                <w:sz w:val="20"/>
                <w:szCs w:val="20"/>
              </w:rPr>
            </w:pPr>
            <w:r w:rsidRPr="00C94273">
              <w:rPr>
                <w:rFonts w:cs="Arial"/>
                <w:sz w:val="20"/>
                <w:szCs w:val="20"/>
                <w:u w:val="single"/>
              </w:rPr>
              <w:t>Summary:</w:t>
            </w:r>
            <w:r w:rsidRPr="00C94273">
              <w:rPr>
                <w:rFonts w:cs="Arial"/>
                <w:sz w:val="20"/>
                <w:szCs w:val="20"/>
              </w:rPr>
              <w:t xml:space="preserve"> “This working paper, referred to in DOC. SC35-3, provides information on the current and ongoing development by the Convention’s five International Organisation Partners (IOPs) of a joint initiative which would be designed to support the work of the Convention in various aspects of activity on wetland monitoring issues. It also provides an up-to-date review of wetland monitoring issues for the Convention.”</w:t>
            </w:r>
          </w:p>
        </w:tc>
      </w:tr>
      <w:tr w:rsidR="00F70F12" w:rsidRPr="00C94273" w:rsidTr="00762B18">
        <w:trPr>
          <w:cantSplit/>
        </w:trPr>
        <w:tc>
          <w:tcPr>
            <w:tcW w:w="3101" w:type="dxa"/>
          </w:tcPr>
          <w:p w:rsidR="00F70F12" w:rsidRPr="00C94273" w:rsidRDefault="001E728F" w:rsidP="001802FC">
            <w:pPr>
              <w:rPr>
                <w:sz w:val="20"/>
                <w:szCs w:val="20"/>
              </w:rPr>
            </w:pPr>
            <w:hyperlink r:id="rId24" w:history="1">
              <w:r w:rsidR="00F70F12" w:rsidRPr="00C94273">
                <w:rPr>
                  <w:rStyle w:val="Hyperlink"/>
                  <w:sz w:val="20"/>
                  <w:szCs w:val="20"/>
                </w:rPr>
                <w:t>Ramsar Technical Report No. 1: Guidelines for the rapid ecological assessment of biodiversity in inland water, coastal and marine areas</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F70F12" w:rsidP="001802FC">
            <w:pPr>
              <w:rPr>
                <w:rFonts w:cs="Arial"/>
                <w:sz w:val="20"/>
                <w:szCs w:val="20"/>
              </w:rPr>
            </w:pPr>
            <w:r w:rsidRPr="00C94273">
              <w:rPr>
                <w:rFonts w:cs="Arial"/>
                <w:sz w:val="20"/>
                <w:szCs w:val="20"/>
              </w:rPr>
              <w:t>Scientists</w:t>
            </w:r>
          </w:p>
        </w:tc>
        <w:tc>
          <w:tcPr>
            <w:tcW w:w="1418" w:type="dxa"/>
          </w:tcPr>
          <w:p w:rsidR="00F70F12" w:rsidRPr="00C94273" w:rsidRDefault="00F70F12" w:rsidP="001802FC">
            <w:pPr>
              <w:rPr>
                <w:rFonts w:cs="Arial"/>
                <w:sz w:val="20"/>
                <w:szCs w:val="20"/>
              </w:rPr>
            </w:pPr>
          </w:p>
        </w:tc>
        <w:tc>
          <w:tcPr>
            <w:tcW w:w="1134" w:type="dxa"/>
          </w:tcPr>
          <w:p w:rsidR="00F70F12" w:rsidRPr="00C94273" w:rsidRDefault="00F70F12" w:rsidP="001802FC">
            <w:pPr>
              <w:rPr>
                <w:sz w:val="20"/>
                <w:szCs w:val="20"/>
              </w:rPr>
            </w:pPr>
            <w:r w:rsidRPr="00C94273">
              <w:rPr>
                <w:sz w:val="20"/>
                <w:szCs w:val="20"/>
              </w:rPr>
              <w:t>EFS</w:t>
            </w:r>
          </w:p>
        </w:tc>
        <w:tc>
          <w:tcPr>
            <w:tcW w:w="5103" w:type="dxa"/>
          </w:tcPr>
          <w:p w:rsidR="00F70F12" w:rsidRPr="00C94273" w:rsidRDefault="00F70F12" w:rsidP="001802FC">
            <w:pPr>
              <w:rPr>
                <w:rFonts w:cs="Arial"/>
                <w:sz w:val="20"/>
                <w:szCs w:val="20"/>
              </w:rPr>
            </w:pPr>
            <w:r w:rsidRPr="00C94273">
              <w:rPr>
                <w:rFonts w:cs="Arial"/>
                <w:sz w:val="20"/>
                <w:szCs w:val="20"/>
                <w:u w:val="single"/>
              </w:rPr>
              <w:t xml:space="preserve">Summary: </w:t>
            </w:r>
            <w:r w:rsidRPr="00C94273">
              <w:rPr>
                <w:rFonts w:cs="Arial"/>
                <w:sz w:val="20"/>
                <w:szCs w:val="20"/>
              </w:rPr>
              <w:t>“[These guidelines] are designed as a suite of optional tools to assist those with urgent need and/or limited capacity and resources to undertake, where necessary, rapid inventories, assessment and monitoring of the biological diversity of inland water, coastal and near-shore marine ecosystems. They focus largely at species level considerations (i.e., assessments of taxa) but also include some tools relevant for assessment at the habitat/ecosystem level. . . . An overall conceptual framework for rapid assessment is presented starting from the definition of purpose to the dissemination of results.”</w:t>
            </w:r>
          </w:p>
        </w:tc>
      </w:tr>
      <w:tr w:rsidR="00F70F12" w:rsidRPr="00C94273" w:rsidTr="00762B18">
        <w:trPr>
          <w:cantSplit/>
        </w:trPr>
        <w:tc>
          <w:tcPr>
            <w:tcW w:w="3101" w:type="dxa"/>
          </w:tcPr>
          <w:p w:rsidR="00F70F12" w:rsidRPr="00C94273" w:rsidRDefault="001E728F" w:rsidP="001802FC">
            <w:pPr>
              <w:rPr>
                <w:sz w:val="20"/>
                <w:szCs w:val="20"/>
              </w:rPr>
            </w:pPr>
            <w:hyperlink r:id="rId25" w:history="1">
              <w:r w:rsidR="00F70F12" w:rsidRPr="00C94273">
                <w:rPr>
                  <w:rStyle w:val="Hyperlink"/>
                  <w:sz w:val="20"/>
                  <w:szCs w:val="20"/>
                </w:rPr>
                <w:t>Ramsar Technical Report No. 2: Low-cost GIS software and data for wetland inventory, assessment &amp; monitoring</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1802FC" w:rsidP="001802FC">
            <w:pPr>
              <w:rPr>
                <w:rFonts w:cs="Arial"/>
                <w:sz w:val="20"/>
                <w:szCs w:val="20"/>
              </w:rPr>
            </w:pPr>
            <w:r w:rsidRPr="00C94273">
              <w:rPr>
                <w:rFonts w:cs="Arial"/>
                <w:sz w:val="20"/>
                <w:szCs w:val="20"/>
              </w:rPr>
              <w:t>Scientists / practitioners</w:t>
            </w:r>
          </w:p>
        </w:tc>
        <w:tc>
          <w:tcPr>
            <w:tcW w:w="1418" w:type="dxa"/>
          </w:tcPr>
          <w:p w:rsidR="00F70F12" w:rsidRPr="00C94273" w:rsidRDefault="00F70F12" w:rsidP="001802FC">
            <w:pPr>
              <w:rPr>
                <w:rFonts w:cs="Arial"/>
                <w:sz w:val="20"/>
                <w:szCs w:val="20"/>
              </w:rPr>
            </w:pPr>
          </w:p>
        </w:tc>
        <w:tc>
          <w:tcPr>
            <w:tcW w:w="1134" w:type="dxa"/>
          </w:tcPr>
          <w:p w:rsidR="00F70F12" w:rsidRPr="00C94273" w:rsidRDefault="00F70F12" w:rsidP="001802FC">
            <w:pPr>
              <w:rPr>
                <w:sz w:val="20"/>
                <w:szCs w:val="20"/>
              </w:rPr>
            </w:pPr>
            <w:r w:rsidRPr="00C94273">
              <w:rPr>
                <w:sz w:val="20"/>
                <w:szCs w:val="20"/>
              </w:rPr>
              <w:t>ES</w:t>
            </w:r>
          </w:p>
        </w:tc>
        <w:tc>
          <w:tcPr>
            <w:tcW w:w="5103" w:type="dxa"/>
          </w:tcPr>
          <w:p w:rsidR="00F70F12" w:rsidRPr="00C94273" w:rsidRDefault="00F70F12" w:rsidP="001802FC">
            <w:pPr>
              <w:rPr>
                <w:rFonts w:cs="Arial"/>
                <w:sz w:val="20"/>
                <w:szCs w:val="20"/>
              </w:rPr>
            </w:pPr>
            <w:r w:rsidRPr="00C94273">
              <w:rPr>
                <w:rFonts w:cs="Arial"/>
                <w:sz w:val="20"/>
                <w:szCs w:val="20"/>
                <w:u w:val="single"/>
              </w:rPr>
              <w:t>Summary:</w:t>
            </w:r>
            <w:r w:rsidRPr="00C94273">
              <w:rPr>
                <w:rFonts w:cs="Arial"/>
                <w:sz w:val="20"/>
                <w:szCs w:val="20"/>
              </w:rPr>
              <w:t xml:space="preserve"> “[T]his review and guidance has been prepared to provide a general introduction to GIS issues, its application not only for wetland inventory, but also for wetland assessment and monitoring purposes and other applications, in order to cover the full scope of the integrated framework for wetland inventory, assessment and monitoring that was prepared concurrently by the STRP (COP9 Resolution IX.1 . . . Annex E). The review outlines data management issues and provides guidance on a set of criteria which should be applied by those considering using GIS systems for wetland data handling and management. Information on available data viewer software and low-cost GIS products is provided . . . .”</w:t>
            </w:r>
          </w:p>
        </w:tc>
      </w:tr>
      <w:tr w:rsidR="00F70F12" w:rsidRPr="00C94273" w:rsidTr="00762B18">
        <w:trPr>
          <w:cantSplit/>
        </w:trPr>
        <w:tc>
          <w:tcPr>
            <w:tcW w:w="3101" w:type="dxa"/>
          </w:tcPr>
          <w:p w:rsidR="00F70F12" w:rsidRPr="00C94273" w:rsidRDefault="001E728F" w:rsidP="001802FC">
            <w:pPr>
              <w:rPr>
                <w:sz w:val="20"/>
                <w:szCs w:val="20"/>
              </w:rPr>
            </w:pPr>
            <w:hyperlink r:id="rId26" w:history="1">
              <w:r w:rsidR="00F70F12" w:rsidRPr="00C94273">
                <w:rPr>
                  <w:rStyle w:val="Hyperlink"/>
                  <w:sz w:val="20"/>
                  <w:szCs w:val="20"/>
                </w:rPr>
                <w:t xml:space="preserve">Ramsar Technical Report No. 4: A Framework for a Wetland Inventory </w:t>
              </w:r>
              <w:proofErr w:type="spellStart"/>
              <w:r w:rsidR="00F70F12" w:rsidRPr="00C94273">
                <w:rPr>
                  <w:rStyle w:val="Hyperlink"/>
                  <w:sz w:val="20"/>
                  <w:szCs w:val="20"/>
                </w:rPr>
                <w:t>Metadatabase</w:t>
              </w:r>
              <w:proofErr w:type="spellEnd"/>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F70F12" w:rsidP="001802FC">
            <w:pPr>
              <w:rPr>
                <w:rFonts w:cs="Arial"/>
                <w:sz w:val="20"/>
                <w:szCs w:val="20"/>
              </w:rPr>
            </w:pPr>
            <w:r w:rsidRPr="00C94273">
              <w:rPr>
                <w:rFonts w:cs="Arial"/>
                <w:sz w:val="20"/>
                <w:szCs w:val="20"/>
              </w:rPr>
              <w:t>Scientists</w:t>
            </w:r>
          </w:p>
        </w:tc>
        <w:tc>
          <w:tcPr>
            <w:tcW w:w="1418" w:type="dxa"/>
          </w:tcPr>
          <w:p w:rsidR="00F70F12" w:rsidRPr="00C94273" w:rsidRDefault="00F70F12" w:rsidP="001802FC">
            <w:pPr>
              <w:rPr>
                <w:rFonts w:cs="Arial"/>
                <w:sz w:val="20"/>
                <w:szCs w:val="20"/>
              </w:rPr>
            </w:pPr>
          </w:p>
        </w:tc>
        <w:tc>
          <w:tcPr>
            <w:tcW w:w="1134" w:type="dxa"/>
          </w:tcPr>
          <w:p w:rsidR="00F70F12" w:rsidRPr="00C94273" w:rsidRDefault="00F70F12" w:rsidP="001802FC">
            <w:pPr>
              <w:rPr>
                <w:sz w:val="20"/>
                <w:szCs w:val="20"/>
              </w:rPr>
            </w:pPr>
            <w:r w:rsidRPr="00C94273">
              <w:rPr>
                <w:sz w:val="20"/>
                <w:szCs w:val="20"/>
              </w:rPr>
              <w:t>E</w:t>
            </w:r>
          </w:p>
        </w:tc>
        <w:tc>
          <w:tcPr>
            <w:tcW w:w="5103" w:type="dxa"/>
          </w:tcPr>
          <w:p w:rsidR="00F70F12" w:rsidRPr="00C94273" w:rsidRDefault="00F70F12" w:rsidP="001802FC">
            <w:pPr>
              <w:rPr>
                <w:rFonts w:cs="Arial"/>
                <w:sz w:val="20"/>
                <w:szCs w:val="20"/>
              </w:rPr>
            </w:pPr>
            <w:r w:rsidRPr="00C94273">
              <w:rPr>
                <w:rFonts w:cs="Arial"/>
                <w:sz w:val="20"/>
                <w:szCs w:val="20"/>
                <w:u w:val="single"/>
              </w:rPr>
              <w:t>Summary:</w:t>
            </w:r>
            <w:r w:rsidRPr="00C94273">
              <w:rPr>
                <w:rFonts w:cs="Arial"/>
                <w:sz w:val="20"/>
                <w:szCs w:val="20"/>
              </w:rPr>
              <w:t xml:space="preserve"> “The standard wetland inventory </w:t>
            </w:r>
            <w:proofErr w:type="spellStart"/>
            <w:r w:rsidRPr="00C94273">
              <w:rPr>
                <w:rFonts w:cs="Arial"/>
                <w:sz w:val="20"/>
                <w:szCs w:val="20"/>
              </w:rPr>
              <w:t>metadatabase</w:t>
            </w:r>
            <w:proofErr w:type="spellEnd"/>
            <w:r w:rsidRPr="00C94273">
              <w:rPr>
                <w:rFonts w:cs="Arial"/>
                <w:sz w:val="20"/>
                <w:szCs w:val="20"/>
              </w:rPr>
              <w:t xml:space="preserve"> model provided in this Ramsar Technical Report will enable the consistent provision, collation and compilation of information about wetland inventory worldwide, and it can be utilised by anyone who has undertaken a wetland inventory, at whatever spatial (geographical) scale. . . . The resulting </w:t>
            </w:r>
            <w:proofErr w:type="spellStart"/>
            <w:r w:rsidRPr="00C94273">
              <w:rPr>
                <w:rFonts w:cs="Arial"/>
                <w:sz w:val="20"/>
                <w:szCs w:val="20"/>
              </w:rPr>
              <w:t>metadatabase</w:t>
            </w:r>
            <w:proofErr w:type="spellEnd"/>
            <w:r w:rsidRPr="00C94273">
              <w:rPr>
                <w:rFonts w:cs="Arial"/>
                <w:sz w:val="20"/>
                <w:szCs w:val="20"/>
              </w:rPr>
              <w:t xml:space="preserve"> framework has been developed from core metadata fields for wetland inventory identified through the </w:t>
            </w:r>
            <w:proofErr w:type="spellStart"/>
            <w:r w:rsidRPr="00C94273">
              <w:rPr>
                <w:rFonts w:cs="Arial"/>
                <w:sz w:val="20"/>
                <w:szCs w:val="20"/>
              </w:rPr>
              <w:t>GRoWI</w:t>
            </w:r>
            <w:proofErr w:type="spellEnd"/>
            <w:r w:rsidRPr="00C94273">
              <w:rPr>
                <w:rFonts w:cs="Arial"/>
                <w:sz w:val="20"/>
                <w:szCs w:val="20"/>
              </w:rPr>
              <w:t xml:space="preserve"> project, integrated with other internationally recognized metadata fields that are in use elsewhere in the world. The </w:t>
            </w:r>
            <w:proofErr w:type="spellStart"/>
            <w:r w:rsidRPr="00C94273">
              <w:rPr>
                <w:rFonts w:cs="Arial"/>
                <w:sz w:val="20"/>
                <w:szCs w:val="20"/>
              </w:rPr>
              <w:t>metadatabase</w:t>
            </w:r>
            <w:proofErr w:type="spellEnd"/>
            <w:r w:rsidRPr="00C94273">
              <w:rPr>
                <w:rFonts w:cs="Arial"/>
                <w:sz w:val="20"/>
                <w:szCs w:val="20"/>
              </w:rPr>
              <w:t xml:space="preserve"> framework has been designed to provide the basis for the development of an on-line web-based wetland inventory metadata system which can serve up accessible information about wetland inventories worldwide.”</w:t>
            </w:r>
          </w:p>
        </w:tc>
      </w:tr>
      <w:tr w:rsidR="00F70F12" w:rsidRPr="00C94273" w:rsidTr="00762B18">
        <w:trPr>
          <w:cantSplit/>
        </w:trPr>
        <w:tc>
          <w:tcPr>
            <w:tcW w:w="3101" w:type="dxa"/>
          </w:tcPr>
          <w:p w:rsidR="00F70F12" w:rsidRPr="00C94273" w:rsidRDefault="001E728F" w:rsidP="001802FC">
            <w:pPr>
              <w:rPr>
                <w:sz w:val="20"/>
                <w:szCs w:val="20"/>
              </w:rPr>
            </w:pPr>
            <w:hyperlink r:id="rId27" w:history="1">
              <w:r w:rsidR="00F70F12" w:rsidRPr="00C94273">
                <w:rPr>
                  <w:rStyle w:val="Hyperlink"/>
                  <w:sz w:val="20"/>
                  <w:szCs w:val="20"/>
                </w:rPr>
                <w:t>Ramsar Technical Report No. 7: Ramsar Wetland Disease Manual: Guidelines for Assessment, Monitoring and Management of Animal Disease in Wetlands</w:t>
              </w:r>
            </w:hyperlink>
          </w:p>
        </w:tc>
        <w:tc>
          <w:tcPr>
            <w:tcW w:w="1294" w:type="dxa"/>
          </w:tcPr>
          <w:p w:rsidR="00F70F12" w:rsidRPr="00C94273" w:rsidRDefault="001802FC" w:rsidP="001802FC">
            <w:pPr>
              <w:rPr>
                <w:rFonts w:cs="Arial"/>
                <w:sz w:val="20"/>
                <w:szCs w:val="20"/>
              </w:rPr>
            </w:pPr>
            <w:r w:rsidRPr="00C94273">
              <w:rPr>
                <w:rFonts w:cs="Arial"/>
                <w:sz w:val="20"/>
                <w:szCs w:val="20"/>
              </w:rPr>
              <w:t>Scientific / technical</w:t>
            </w:r>
          </w:p>
        </w:tc>
        <w:tc>
          <w:tcPr>
            <w:tcW w:w="2126" w:type="dxa"/>
          </w:tcPr>
          <w:p w:rsidR="00F70F12" w:rsidRPr="00C94273" w:rsidRDefault="00F70F12" w:rsidP="001802FC">
            <w:pPr>
              <w:rPr>
                <w:rFonts w:cs="Arial"/>
                <w:sz w:val="20"/>
                <w:szCs w:val="20"/>
              </w:rPr>
            </w:pPr>
            <w:r w:rsidRPr="00C94273">
              <w:rPr>
                <w:rFonts w:cs="Arial"/>
                <w:sz w:val="20"/>
                <w:szCs w:val="20"/>
              </w:rPr>
              <w:t>Scientist</w:t>
            </w:r>
            <w:r w:rsidR="001802FC" w:rsidRPr="00C94273">
              <w:rPr>
                <w:rFonts w:cs="Arial"/>
                <w:sz w:val="20"/>
                <w:szCs w:val="20"/>
              </w:rPr>
              <w:t xml:space="preserve">s </w:t>
            </w:r>
            <w:r w:rsidRPr="00C94273">
              <w:rPr>
                <w:rFonts w:cs="Arial"/>
                <w:sz w:val="20"/>
                <w:szCs w:val="20"/>
              </w:rPr>
              <w:t xml:space="preserve">/ </w:t>
            </w:r>
            <w:r w:rsidR="001802FC" w:rsidRPr="00C94273">
              <w:rPr>
                <w:rFonts w:cs="Arial"/>
                <w:sz w:val="20"/>
                <w:szCs w:val="20"/>
              </w:rPr>
              <w:t>p</w:t>
            </w:r>
            <w:r w:rsidRPr="00C94273">
              <w:rPr>
                <w:rFonts w:cs="Arial"/>
                <w:sz w:val="20"/>
                <w:szCs w:val="20"/>
              </w:rPr>
              <w:t>ractitioner</w:t>
            </w:r>
            <w:r w:rsidR="001802FC" w:rsidRPr="00C94273">
              <w:rPr>
                <w:rFonts w:cs="Arial"/>
                <w:sz w:val="20"/>
                <w:szCs w:val="20"/>
              </w:rPr>
              <w:t>s</w:t>
            </w:r>
            <w:r w:rsidRPr="00C94273">
              <w:rPr>
                <w:rFonts w:cs="Arial"/>
                <w:sz w:val="20"/>
                <w:szCs w:val="20"/>
              </w:rPr>
              <w:t xml:space="preserve">, </w:t>
            </w:r>
            <w:r w:rsidR="001802FC" w:rsidRPr="00C94273">
              <w:rPr>
                <w:rFonts w:cs="Arial"/>
                <w:sz w:val="20"/>
                <w:szCs w:val="20"/>
              </w:rPr>
              <w:t>p</w:t>
            </w:r>
            <w:r w:rsidRPr="00C94273">
              <w:rPr>
                <w:rFonts w:cs="Arial"/>
                <w:sz w:val="20"/>
                <w:szCs w:val="20"/>
              </w:rPr>
              <w:t>olicymakers</w:t>
            </w:r>
          </w:p>
        </w:tc>
        <w:tc>
          <w:tcPr>
            <w:tcW w:w="1418" w:type="dxa"/>
          </w:tcPr>
          <w:p w:rsidR="00F70F12" w:rsidRPr="00C94273" w:rsidRDefault="00F70F12" w:rsidP="001802FC">
            <w:pPr>
              <w:rPr>
                <w:rFonts w:cs="Arial"/>
                <w:sz w:val="20"/>
                <w:szCs w:val="20"/>
              </w:rPr>
            </w:pPr>
          </w:p>
        </w:tc>
        <w:tc>
          <w:tcPr>
            <w:tcW w:w="1134" w:type="dxa"/>
          </w:tcPr>
          <w:p w:rsidR="00F70F12" w:rsidRPr="00C94273" w:rsidRDefault="00F70F12" w:rsidP="001802FC">
            <w:pPr>
              <w:rPr>
                <w:sz w:val="20"/>
                <w:szCs w:val="20"/>
              </w:rPr>
            </w:pPr>
            <w:r w:rsidRPr="00C94273">
              <w:rPr>
                <w:sz w:val="20"/>
                <w:szCs w:val="20"/>
              </w:rPr>
              <w:t>E</w:t>
            </w:r>
          </w:p>
        </w:tc>
        <w:tc>
          <w:tcPr>
            <w:tcW w:w="5103" w:type="dxa"/>
          </w:tcPr>
          <w:p w:rsidR="00F70F12" w:rsidRPr="00C94273" w:rsidRDefault="00F70F12" w:rsidP="001802FC">
            <w:pPr>
              <w:rPr>
                <w:rFonts w:cs="Arial"/>
                <w:sz w:val="20"/>
                <w:szCs w:val="20"/>
              </w:rPr>
            </w:pPr>
            <w:r w:rsidRPr="00C94273">
              <w:rPr>
                <w:rFonts w:cs="Arial"/>
                <w:sz w:val="20"/>
                <w:szCs w:val="20"/>
                <w:u w:val="single"/>
              </w:rPr>
              <w:t>Summary:</w:t>
            </w:r>
            <w:r w:rsidRPr="00C94273">
              <w:rPr>
                <w:rFonts w:cs="Arial"/>
                <w:sz w:val="20"/>
                <w:szCs w:val="20"/>
              </w:rPr>
              <w:t xml:space="preserve"> “This Manual is intended to provide the reader with an overview of the principles and practicalities of managing animal diseases at wetland sites. The Manual highlights the importance of including disease prevention and control in wetland management plans and provides guidelines on how to do so. It should be used in conjunction with Ramsar Handbook No. 18 on Managing Wetlands.”</w:t>
            </w:r>
          </w:p>
        </w:tc>
      </w:tr>
      <w:tr w:rsidR="008276EE" w:rsidRPr="00C94273" w:rsidTr="00F37463">
        <w:trPr>
          <w:cantSplit/>
        </w:trPr>
        <w:tc>
          <w:tcPr>
            <w:tcW w:w="14176" w:type="dxa"/>
            <w:gridSpan w:val="6"/>
            <w:shd w:val="clear" w:color="auto" w:fill="D9D9D9" w:themeFill="background1" w:themeFillShade="D9"/>
          </w:tcPr>
          <w:p w:rsidR="008276EE" w:rsidRPr="00C94273" w:rsidRDefault="005C06B3" w:rsidP="001802FC">
            <w:pPr>
              <w:jc w:val="center"/>
              <w:rPr>
                <w:rFonts w:cs="Arial"/>
                <w:b/>
                <w:sz w:val="20"/>
                <w:szCs w:val="20"/>
              </w:rPr>
            </w:pPr>
            <w:r w:rsidRPr="00C94273">
              <w:rPr>
                <w:rFonts w:cs="Arial"/>
                <w:b/>
                <w:sz w:val="20"/>
                <w:szCs w:val="20"/>
              </w:rPr>
              <w:lastRenderedPageBreak/>
              <w:t>Other guidance</w:t>
            </w:r>
          </w:p>
        </w:tc>
      </w:tr>
      <w:tr w:rsidR="005C06B3" w:rsidRPr="00C94273" w:rsidTr="0043685F">
        <w:trPr>
          <w:cantSplit/>
        </w:trPr>
        <w:tc>
          <w:tcPr>
            <w:tcW w:w="14176" w:type="dxa"/>
            <w:gridSpan w:val="6"/>
            <w:shd w:val="clear" w:color="auto" w:fill="FDE9D9" w:themeFill="accent6" w:themeFillTint="33"/>
          </w:tcPr>
          <w:p w:rsidR="005C06B3" w:rsidRPr="00C94273" w:rsidRDefault="005C06B3" w:rsidP="001802FC">
            <w:pPr>
              <w:rPr>
                <w:rFonts w:cs="Arial"/>
                <w:b/>
                <w:sz w:val="20"/>
                <w:szCs w:val="20"/>
              </w:rPr>
            </w:pPr>
            <w:r w:rsidRPr="00C94273">
              <w:rPr>
                <w:b/>
                <w:sz w:val="20"/>
                <w:szCs w:val="20"/>
                <w:lang w:val="en-AU"/>
              </w:rPr>
              <w:t>2016-2019 update</w:t>
            </w:r>
          </w:p>
        </w:tc>
      </w:tr>
      <w:tr w:rsidR="008276EE" w:rsidRPr="00C94273" w:rsidTr="00762B18">
        <w:trPr>
          <w:cantSplit/>
        </w:trPr>
        <w:tc>
          <w:tcPr>
            <w:tcW w:w="3101" w:type="dxa"/>
          </w:tcPr>
          <w:p w:rsidR="008276EE" w:rsidRPr="00C94273" w:rsidRDefault="001E728F" w:rsidP="001802FC">
            <w:hyperlink r:id="rId28" w:history="1">
              <w:r w:rsidR="008276EE" w:rsidRPr="00C94273">
                <w:rPr>
                  <w:rStyle w:val="Hyperlink"/>
                  <w:sz w:val="20"/>
                  <w:szCs w:val="20"/>
                </w:rPr>
                <w:t>Guidelines for using A global standard for the identification of Key Biodiversity Areas : version 1.0</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rPr>
              <w:t>E</w:t>
            </w:r>
          </w:p>
        </w:tc>
        <w:tc>
          <w:tcPr>
            <w:tcW w:w="5103" w:type="dxa"/>
          </w:tcPr>
          <w:p w:rsidR="008276EE" w:rsidRPr="00C94273" w:rsidRDefault="008276EE" w:rsidP="001802FC">
            <w:pPr>
              <w:rPr>
                <w:rStyle w:val="Hyperlink"/>
                <w:color w:val="auto"/>
                <w:sz w:val="20"/>
                <w:szCs w:val="20"/>
                <w:u w:val="none"/>
                <w:lang w:val="en-AU"/>
              </w:rPr>
            </w:pPr>
            <w:r w:rsidRPr="00C94273">
              <w:rPr>
                <w:rStyle w:val="Hyperlink"/>
                <w:color w:val="auto"/>
                <w:sz w:val="20"/>
                <w:szCs w:val="20"/>
                <w:u w:val="none"/>
                <w:lang w:val="en-AU"/>
              </w:rPr>
              <w:t>IUCN</w:t>
            </w:r>
          </w:p>
          <w:p w:rsidR="008276EE" w:rsidRPr="00C94273" w:rsidRDefault="008276EE" w:rsidP="001802FC">
            <w:pPr>
              <w:rPr>
                <w:rFonts w:cs="Arial"/>
                <w:sz w:val="20"/>
                <w:szCs w:val="20"/>
                <w:u w:val="single"/>
              </w:rPr>
            </w:pPr>
            <w:r w:rsidRPr="00C94273">
              <w:rPr>
                <w:sz w:val="20"/>
                <w:szCs w:val="20"/>
                <w:u w:val="single"/>
                <w:lang w:val="en-AU"/>
              </w:rPr>
              <w:t>Summary: “The purpose of these guidelines is to ensure that Key Biodiversity Area (KBA) identification is based on consistent, scientifically rigorous yet practical methods. The KBA Guidelines provide an overview of the steps for identifying and delineating KBAs, together with explanation of how the KBA criteria, thresholds and delineation procedures should be applied in practice. The primary audience for the KBA Guidelines includes individuals or organisations interested in proposing or reviewing KBAs.”</w:t>
            </w:r>
          </w:p>
        </w:tc>
      </w:tr>
      <w:tr w:rsidR="008276EE" w:rsidRPr="00C94273" w:rsidTr="0043685F">
        <w:trPr>
          <w:cantSplit/>
          <w:trHeight w:val="178"/>
        </w:trPr>
        <w:tc>
          <w:tcPr>
            <w:tcW w:w="14176" w:type="dxa"/>
            <w:gridSpan w:val="6"/>
            <w:shd w:val="clear" w:color="auto" w:fill="FDE9D9" w:themeFill="accent6" w:themeFillTint="33"/>
          </w:tcPr>
          <w:p w:rsidR="008276EE" w:rsidRPr="00C94273" w:rsidRDefault="005C06B3" w:rsidP="001802FC">
            <w:pPr>
              <w:rPr>
                <w:rFonts w:cs="Arial"/>
                <w:sz w:val="20"/>
                <w:szCs w:val="20"/>
              </w:rPr>
            </w:pPr>
            <w:r w:rsidRPr="00C94273">
              <w:rPr>
                <w:rFonts w:cs="Arial"/>
                <w:b/>
                <w:sz w:val="20"/>
                <w:szCs w:val="20"/>
              </w:rPr>
              <w:t>Up to 2015</w:t>
            </w:r>
          </w:p>
        </w:tc>
      </w:tr>
      <w:tr w:rsidR="008276EE" w:rsidRPr="00C94273" w:rsidTr="00762B18">
        <w:trPr>
          <w:cantSplit/>
        </w:trPr>
        <w:tc>
          <w:tcPr>
            <w:tcW w:w="3101" w:type="dxa"/>
          </w:tcPr>
          <w:p w:rsidR="008276EE" w:rsidRPr="00C94273" w:rsidRDefault="001E728F" w:rsidP="001802FC">
            <w:pPr>
              <w:rPr>
                <w:sz w:val="20"/>
                <w:szCs w:val="20"/>
              </w:rPr>
            </w:pPr>
            <w:hyperlink r:id="rId29" w:history="1">
              <w:r w:rsidR="008276EE" w:rsidRPr="00C94273">
                <w:rPr>
                  <w:rStyle w:val="Hyperlink"/>
                  <w:sz w:val="20"/>
                  <w:szCs w:val="20"/>
                </w:rPr>
                <w:t>Monitoring Important Bird Areas: a global framework</w:t>
              </w:r>
            </w:hyperlink>
            <w:r w:rsidR="008276EE" w:rsidRPr="00C94273">
              <w:rPr>
                <w:rStyle w:val="Hyperlink"/>
                <w:sz w:val="20"/>
                <w:szCs w:val="20"/>
              </w:rPr>
              <w:t xml:space="preserve"> </w:t>
            </w:r>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rPr>
              <w:t>E</w:t>
            </w:r>
          </w:p>
        </w:tc>
        <w:tc>
          <w:tcPr>
            <w:tcW w:w="5103" w:type="dxa"/>
          </w:tcPr>
          <w:p w:rsidR="008276EE" w:rsidRPr="00C94273" w:rsidRDefault="008276EE" w:rsidP="001802FC">
            <w:pPr>
              <w:rPr>
                <w:rStyle w:val="Hyperlink"/>
                <w:color w:val="auto"/>
                <w:sz w:val="20"/>
                <w:szCs w:val="20"/>
                <w:u w:val="none"/>
              </w:rPr>
            </w:pPr>
            <w:proofErr w:type="spellStart"/>
            <w:r w:rsidRPr="00C94273">
              <w:rPr>
                <w:rStyle w:val="Hyperlink"/>
                <w:color w:val="auto"/>
                <w:sz w:val="20"/>
                <w:szCs w:val="20"/>
                <w:u w:val="none"/>
              </w:rPr>
              <w:t>BirdLife</w:t>
            </w:r>
            <w:proofErr w:type="spellEnd"/>
            <w:r w:rsidRPr="00C94273">
              <w:rPr>
                <w:rStyle w:val="Hyperlink"/>
                <w:color w:val="auto"/>
                <w:sz w:val="20"/>
                <w:szCs w:val="20"/>
                <w:u w:val="none"/>
              </w:rPr>
              <w:t xml:space="preserve"> International</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“The IBA monitoring framework provides a standardised way to assign scores for the threats to IBAs (‘Pressure’), the condition of IBAs (‘State’) and conservation actions taken at IBAs (‘Response’). These guidelines explain how this scoring system works, and also outline principles for designing and implementing a sustainable monitoring process.”</w:t>
            </w:r>
          </w:p>
        </w:tc>
      </w:tr>
      <w:tr w:rsidR="008276EE" w:rsidRPr="00C94273" w:rsidTr="00762B18">
        <w:trPr>
          <w:cantSplit/>
        </w:trPr>
        <w:tc>
          <w:tcPr>
            <w:tcW w:w="3101" w:type="dxa"/>
          </w:tcPr>
          <w:p w:rsidR="008276EE" w:rsidRPr="00C94273" w:rsidRDefault="001E728F" w:rsidP="001802FC">
            <w:pPr>
              <w:rPr>
                <w:color w:val="FF0000"/>
                <w:sz w:val="20"/>
                <w:szCs w:val="20"/>
              </w:rPr>
            </w:pPr>
            <w:hyperlink r:id="rId30" w:history="1">
              <w:r w:rsidR="008276EE" w:rsidRPr="00C94273">
                <w:rPr>
                  <w:rStyle w:val="Hyperlink"/>
                  <w:sz w:val="20"/>
                  <w:szCs w:val="20"/>
                </w:rPr>
                <w:t>Wetland Resources Action Planning (WRAP) Toolkit</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rStyle w:val="Hyperlink"/>
                <w:color w:val="auto"/>
                <w:sz w:val="20"/>
                <w:szCs w:val="20"/>
                <w:u w:val="none"/>
                <w:lang w:val="en-AU"/>
              </w:rPr>
            </w:pPr>
            <w:r w:rsidRPr="00C94273">
              <w:rPr>
                <w:rStyle w:val="Hyperlink"/>
                <w:color w:val="auto"/>
                <w:sz w:val="20"/>
                <w:szCs w:val="20"/>
                <w:u w:val="none"/>
                <w:lang w:val="en-AU"/>
              </w:rPr>
              <w:t>E</w:t>
            </w:r>
          </w:p>
        </w:tc>
        <w:tc>
          <w:tcPr>
            <w:tcW w:w="5103" w:type="dxa"/>
          </w:tcPr>
          <w:p w:rsidR="008276EE" w:rsidRPr="00C94273" w:rsidRDefault="008276EE" w:rsidP="001802FC">
            <w:pPr>
              <w:rPr>
                <w:rStyle w:val="Hyperlink"/>
                <w:color w:val="auto"/>
                <w:sz w:val="20"/>
                <w:szCs w:val="20"/>
                <w:u w:val="none"/>
                <w:lang w:val="en-AU"/>
              </w:rPr>
            </w:pPr>
            <w:r w:rsidRPr="00C94273">
              <w:rPr>
                <w:rStyle w:val="Hyperlink"/>
                <w:color w:val="auto"/>
                <w:sz w:val="20"/>
                <w:szCs w:val="20"/>
                <w:u w:val="none"/>
                <w:lang w:val="en-AU"/>
              </w:rPr>
              <w:t>IUCN</w:t>
            </w:r>
          </w:p>
        </w:tc>
      </w:tr>
      <w:tr w:rsidR="008276EE" w:rsidRPr="00C94273" w:rsidTr="00762B18">
        <w:trPr>
          <w:cantSplit/>
        </w:trPr>
        <w:tc>
          <w:tcPr>
            <w:tcW w:w="3101" w:type="dxa"/>
          </w:tcPr>
          <w:p w:rsidR="008276EE" w:rsidRPr="00C94273" w:rsidRDefault="001E728F" w:rsidP="001802FC">
            <w:pPr>
              <w:rPr>
                <w:sz w:val="20"/>
                <w:szCs w:val="20"/>
                <w:lang w:val="en-AU"/>
              </w:rPr>
            </w:pPr>
            <w:hyperlink r:id="rId31" w:history="1">
              <w:r w:rsidR="008276EE" w:rsidRPr="00C94273">
                <w:rPr>
                  <w:rStyle w:val="Hyperlink"/>
                  <w:sz w:val="20"/>
                  <w:szCs w:val="20"/>
                  <w:lang w:val="en-AU"/>
                </w:rPr>
                <w:t>An Integrated Wetland Assessment Toolkit: A guide to good practice</w:t>
              </w:r>
            </w:hyperlink>
            <w:r w:rsidR="008276EE" w:rsidRPr="00C94273">
              <w:rPr>
                <w:rStyle w:val="Hyperlink"/>
                <w:sz w:val="20"/>
                <w:szCs w:val="20"/>
                <w:lang w:val="en-AU"/>
              </w:rPr>
              <w:t xml:space="preserve"> + Case study: An integrated assessment of the biodiversity, livelihood and economic value of wetlands in </w:t>
            </w:r>
            <w:proofErr w:type="spellStart"/>
            <w:r w:rsidR="008276EE" w:rsidRPr="00C94273">
              <w:rPr>
                <w:rStyle w:val="Hyperlink"/>
                <w:sz w:val="20"/>
                <w:szCs w:val="20"/>
                <w:lang w:val="en-AU"/>
              </w:rPr>
              <w:t>Mtanza-Msona</w:t>
            </w:r>
            <w:proofErr w:type="spellEnd"/>
            <w:r w:rsidR="008276EE" w:rsidRPr="00C94273">
              <w:rPr>
                <w:rStyle w:val="Hyperlink"/>
                <w:sz w:val="20"/>
                <w:szCs w:val="20"/>
                <w:lang w:val="en-AU"/>
              </w:rPr>
              <w:t xml:space="preserve"> village, Tanzania</w:t>
            </w:r>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lang w:val="en-AU"/>
              </w:rPr>
              <w:t>E</w:t>
            </w:r>
          </w:p>
        </w:tc>
        <w:tc>
          <w:tcPr>
            <w:tcW w:w="5103" w:type="dxa"/>
          </w:tcPr>
          <w:p w:rsidR="008276EE" w:rsidRPr="00C94273" w:rsidRDefault="008276EE" w:rsidP="001802FC">
            <w:pPr>
              <w:rPr>
                <w:rStyle w:val="Hyperlink"/>
                <w:color w:val="auto"/>
                <w:sz w:val="20"/>
                <w:szCs w:val="20"/>
                <w:u w:val="none"/>
                <w:lang w:val="en-AU"/>
              </w:rPr>
            </w:pPr>
            <w:r w:rsidRPr="00C94273">
              <w:rPr>
                <w:rStyle w:val="Hyperlink"/>
                <w:color w:val="auto"/>
                <w:sz w:val="20"/>
                <w:szCs w:val="20"/>
                <w:u w:val="none"/>
                <w:lang w:val="en-AU"/>
              </w:rPr>
              <w:t>IUCN</w:t>
            </w:r>
          </w:p>
          <w:p w:rsidR="008276EE" w:rsidRPr="00C94273" w:rsidRDefault="008276EE" w:rsidP="001802FC">
            <w:pPr>
              <w:rPr>
                <w:sz w:val="20"/>
                <w:szCs w:val="20"/>
              </w:rPr>
            </w:pPr>
            <w:r w:rsidRPr="00C94273">
              <w:rPr>
                <w:sz w:val="20"/>
                <w:szCs w:val="20"/>
                <w:u w:val="single"/>
                <w:lang w:val="en-AU"/>
              </w:rPr>
              <w:t>Summary:</w:t>
            </w:r>
            <w:r w:rsidRPr="00C94273">
              <w:rPr>
                <w:sz w:val="20"/>
                <w:szCs w:val="20"/>
                <w:lang w:val="en-AU"/>
              </w:rPr>
              <w:t xml:space="preserve"> 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8276EE" w:rsidRPr="00C94273" w:rsidTr="00762B18">
        <w:trPr>
          <w:cantSplit/>
        </w:trPr>
        <w:tc>
          <w:tcPr>
            <w:tcW w:w="3101" w:type="dxa"/>
          </w:tcPr>
          <w:p w:rsidR="008276EE" w:rsidRPr="00C94273" w:rsidRDefault="001E728F" w:rsidP="001802FC">
            <w:pPr>
              <w:rPr>
                <w:color w:val="0000FF" w:themeColor="hyperlink"/>
                <w:sz w:val="20"/>
                <w:szCs w:val="20"/>
                <w:u w:val="single"/>
              </w:rPr>
            </w:pPr>
            <w:hyperlink r:id="rId32" w:history="1">
              <w:r w:rsidR="008276EE" w:rsidRPr="00C94273">
                <w:rPr>
                  <w:rStyle w:val="Hyperlink"/>
                  <w:sz w:val="20"/>
                  <w:szCs w:val="20"/>
                </w:rPr>
                <w:t>Monitoring and Evaluation Guidelines for Community Based Wetland Resource Management</w:t>
              </w:r>
            </w:hyperlink>
            <w:r w:rsidR="008276EE" w:rsidRPr="00C94273">
              <w:rPr>
                <w:rStyle w:val="Hyperlink"/>
                <w:sz w:val="20"/>
                <w:szCs w:val="20"/>
              </w:rPr>
              <w:t xml:space="preserve"> </w:t>
            </w:r>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rPr>
              <w:t>E</w:t>
            </w: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IUCN</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“The M&amp;E [Monitoring and Evaluation] system depicted herein has been in operation since the inception of the SEMP [Sustainable Environment Management Programme] interventions [in Bangladesh]. . . . This guide may be useful to the managers implementing other SEMP components and similar natural resource management and development projects for maximising resource use and achieving sustainability through conducting regular M&amp;Es.”</w:t>
            </w:r>
          </w:p>
        </w:tc>
      </w:tr>
      <w:tr w:rsidR="008276EE" w:rsidRPr="00C94273" w:rsidTr="00762B18">
        <w:trPr>
          <w:cantSplit/>
        </w:trPr>
        <w:tc>
          <w:tcPr>
            <w:tcW w:w="3101" w:type="dxa"/>
          </w:tcPr>
          <w:p w:rsidR="008276EE" w:rsidRPr="00C94273" w:rsidRDefault="001E728F" w:rsidP="001802FC">
            <w:pPr>
              <w:rPr>
                <w:sz w:val="20"/>
                <w:szCs w:val="20"/>
                <w:lang w:val="es-ES"/>
              </w:rPr>
            </w:pPr>
            <w:hyperlink r:id="rId33" w:history="1">
              <w:r w:rsidR="008276EE" w:rsidRPr="00C94273">
                <w:rPr>
                  <w:rStyle w:val="Hyperlink"/>
                  <w:sz w:val="20"/>
                  <w:szCs w:val="20"/>
                  <w:lang w:val="es-ES"/>
                </w:rPr>
                <w:t>Diagnóstico de medios de vida y capitales de la comunidad de Humedales de Medio Queso, Los Chiles, Costa Rica</w:t>
              </w:r>
            </w:hyperlink>
            <w:r w:rsidR="008276EE" w:rsidRPr="00C94273">
              <w:rPr>
                <w:sz w:val="20"/>
                <w:szCs w:val="20"/>
                <w:lang w:val="es-ES"/>
              </w:rPr>
              <w:t xml:space="preserve"> </w:t>
            </w:r>
          </w:p>
        </w:tc>
        <w:tc>
          <w:tcPr>
            <w:tcW w:w="1294" w:type="dxa"/>
          </w:tcPr>
          <w:p w:rsidR="008276EE" w:rsidRPr="00C94273" w:rsidRDefault="008276EE" w:rsidP="001802FC">
            <w:pPr>
              <w:rPr>
                <w:rFonts w:cs="Arial"/>
                <w:sz w:val="20"/>
                <w:szCs w:val="20"/>
                <w:lang w:val="es-ES"/>
              </w:rPr>
            </w:pPr>
          </w:p>
        </w:tc>
        <w:tc>
          <w:tcPr>
            <w:tcW w:w="2126" w:type="dxa"/>
          </w:tcPr>
          <w:p w:rsidR="008276EE" w:rsidRPr="00C94273" w:rsidRDefault="008276EE" w:rsidP="001802FC">
            <w:pPr>
              <w:rPr>
                <w:rFonts w:cs="Arial"/>
                <w:sz w:val="20"/>
                <w:szCs w:val="20"/>
                <w:lang w:val="es-ES"/>
              </w:rPr>
            </w:pPr>
          </w:p>
        </w:tc>
        <w:tc>
          <w:tcPr>
            <w:tcW w:w="1418" w:type="dxa"/>
          </w:tcPr>
          <w:p w:rsidR="008276EE" w:rsidRPr="00C94273" w:rsidRDefault="008276EE" w:rsidP="001802FC">
            <w:pPr>
              <w:rPr>
                <w:rFonts w:cs="Arial"/>
                <w:sz w:val="20"/>
                <w:szCs w:val="20"/>
                <w:lang w:val="es-ES"/>
              </w:rPr>
            </w:pPr>
          </w:p>
        </w:tc>
        <w:tc>
          <w:tcPr>
            <w:tcW w:w="1134" w:type="dxa"/>
          </w:tcPr>
          <w:p w:rsidR="008276EE" w:rsidRPr="00C94273" w:rsidRDefault="008276EE" w:rsidP="001802FC">
            <w:pPr>
              <w:rPr>
                <w:sz w:val="20"/>
                <w:szCs w:val="20"/>
                <w:lang w:val="es-ES"/>
              </w:rPr>
            </w:pPr>
            <w:r w:rsidRPr="00C94273">
              <w:rPr>
                <w:sz w:val="20"/>
                <w:szCs w:val="20"/>
                <w:lang w:val="es-ES"/>
              </w:rPr>
              <w:t>S</w:t>
            </w:r>
          </w:p>
        </w:tc>
        <w:tc>
          <w:tcPr>
            <w:tcW w:w="5103" w:type="dxa"/>
          </w:tcPr>
          <w:p w:rsidR="008276EE" w:rsidRPr="00C94273" w:rsidRDefault="008276EE" w:rsidP="001802FC">
            <w:pPr>
              <w:rPr>
                <w:rStyle w:val="Hyperlink"/>
                <w:color w:val="auto"/>
                <w:sz w:val="20"/>
                <w:szCs w:val="20"/>
                <w:u w:val="none"/>
                <w:lang w:val="es-ES"/>
              </w:rPr>
            </w:pPr>
            <w:r w:rsidRPr="00C94273">
              <w:rPr>
                <w:rStyle w:val="Hyperlink"/>
                <w:color w:val="auto"/>
                <w:sz w:val="20"/>
                <w:szCs w:val="20"/>
                <w:u w:val="none"/>
                <w:lang w:val="es-ES"/>
              </w:rPr>
              <w:t>IUCN</w:t>
            </w:r>
          </w:p>
        </w:tc>
      </w:tr>
      <w:tr w:rsidR="008276EE" w:rsidRPr="00C94273" w:rsidTr="00762B18">
        <w:trPr>
          <w:cantSplit/>
        </w:trPr>
        <w:tc>
          <w:tcPr>
            <w:tcW w:w="3101" w:type="dxa"/>
          </w:tcPr>
          <w:p w:rsidR="008276EE" w:rsidRPr="00C94273" w:rsidRDefault="001E728F" w:rsidP="001802FC">
            <w:pPr>
              <w:rPr>
                <w:sz w:val="20"/>
                <w:szCs w:val="20"/>
              </w:rPr>
            </w:pPr>
            <w:hyperlink r:id="rId34" w:history="1">
              <w:r w:rsidR="008276EE" w:rsidRPr="00C94273">
                <w:rPr>
                  <w:rStyle w:val="Hyperlink"/>
                  <w:sz w:val="20"/>
                  <w:szCs w:val="20"/>
                </w:rPr>
                <w:t>Biodiversity and ecosystem management in the Iraqi marshlands: screening study on potential World Heritage nomination</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sz w:val="20"/>
                <w:szCs w:val="20"/>
              </w:rPr>
              <w:t>EA</w:t>
            </w: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IUCN</w:t>
            </w:r>
          </w:p>
        </w:tc>
      </w:tr>
      <w:tr w:rsidR="008276EE" w:rsidRPr="00C94273" w:rsidTr="00762B18">
        <w:trPr>
          <w:cantSplit/>
        </w:trPr>
        <w:tc>
          <w:tcPr>
            <w:tcW w:w="3101" w:type="dxa"/>
          </w:tcPr>
          <w:p w:rsidR="008276EE" w:rsidRPr="00C94273" w:rsidRDefault="001E728F" w:rsidP="001802FC">
            <w:pPr>
              <w:rPr>
                <w:color w:val="0000FF" w:themeColor="hyperlink"/>
                <w:sz w:val="20"/>
                <w:szCs w:val="20"/>
                <w:u w:val="single"/>
              </w:rPr>
            </w:pPr>
            <w:hyperlink r:id="rId35" w:history="1">
              <w:r w:rsidR="008276EE" w:rsidRPr="00C94273">
                <w:rPr>
                  <w:rStyle w:val="Hyperlink"/>
                  <w:sz w:val="20"/>
                  <w:szCs w:val="20"/>
                </w:rPr>
                <w:t>Global Lakes and Wetlands Database</w:t>
              </w:r>
            </w:hyperlink>
            <w:r w:rsidR="008276EE" w:rsidRPr="00C94273">
              <w:rPr>
                <w:rStyle w:val="Hyperlink"/>
                <w:sz w:val="20"/>
                <w:szCs w:val="20"/>
              </w:rPr>
              <w:t xml:space="preserve"> </w:t>
            </w:r>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WWF</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“Drawing upon a variety of existing maps, data and information, WWF and the </w:t>
            </w:r>
            <w:proofErr w:type="spellStart"/>
            <w:r w:rsidRPr="00C94273">
              <w:rPr>
                <w:rFonts w:cs="Arial"/>
                <w:sz w:val="20"/>
                <w:szCs w:val="20"/>
              </w:rPr>
              <w:t>Center</w:t>
            </w:r>
            <w:proofErr w:type="spellEnd"/>
            <w:r w:rsidRPr="00C94273">
              <w:rPr>
                <w:rFonts w:cs="Arial"/>
                <w:sz w:val="20"/>
                <w:szCs w:val="20"/>
              </w:rPr>
              <w:t xml:space="preserve"> for Environmental Systems Research, University of Kassel, Germany created the Global Lakes and Wetlands Database (GLWD). The combination of best available sources for lakes and wetlands on a global scale (1:1 to 1:3 million resolution), and the application of GIS functionality enabled the generation of a database which focuses in three coordinated levels on (1) large lakes and reservoirs, (2) smaller water bodies, and (3) wetlands.”</w:t>
            </w:r>
          </w:p>
        </w:tc>
      </w:tr>
      <w:tr w:rsidR="008276EE" w:rsidRPr="00C94273" w:rsidTr="00762B18">
        <w:trPr>
          <w:cantSplit/>
        </w:trPr>
        <w:tc>
          <w:tcPr>
            <w:tcW w:w="3101" w:type="dxa"/>
          </w:tcPr>
          <w:p w:rsidR="008276EE" w:rsidRPr="00C94273" w:rsidRDefault="001E728F" w:rsidP="001802FC">
            <w:pPr>
              <w:rPr>
                <w:color w:val="0000FF" w:themeColor="hyperlink"/>
                <w:sz w:val="20"/>
                <w:szCs w:val="20"/>
                <w:u w:val="single"/>
              </w:rPr>
            </w:pPr>
            <w:hyperlink r:id="rId36" w:history="1">
              <w:r w:rsidR="008276EE" w:rsidRPr="00C94273">
                <w:rPr>
                  <w:rStyle w:val="Hyperlink"/>
                  <w:sz w:val="20"/>
                  <w:szCs w:val="20"/>
                </w:rPr>
                <w:t>Biodiversity and Ecosystem Services Trends and Conditions Assessment Tool</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rPr>
              <w:t>EFS</w:t>
            </w: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The Nature Conservancy</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w:t>
            </w:r>
            <w:proofErr w:type="spellStart"/>
            <w:r w:rsidRPr="00C94273">
              <w:rPr>
                <w:rFonts w:cs="Arial"/>
                <w:sz w:val="20"/>
                <w:szCs w:val="20"/>
              </w:rPr>
              <w:t>BestCat</w:t>
            </w:r>
            <w:proofErr w:type="spellEnd"/>
            <w:r w:rsidRPr="00C94273">
              <w:rPr>
                <w:rFonts w:cs="Arial"/>
                <w:sz w:val="20"/>
                <w:szCs w:val="20"/>
              </w:rPr>
              <w:t xml:space="preserve"> is a web-based mapping application which provides companies with the ability to compare and contrast global assets based on value and condition of ecosystems and associated biodiversity. This easy-to-use and efficient application provides businesses with a </w:t>
            </w:r>
            <w:proofErr w:type="spellStart"/>
            <w:r w:rsidRPr="00C94273">
              <w:rPr>
                <w:rFonts w:cs="Arial"/>
                <w:sz w:val="20"/>
                <w:szCs w:val="20"/>
              </w:rPr>
              <w:t>preset</w:t>
            </w:r>
            <w:proofErr w:type="spellEnd"/>
            <w:r w:rsidRPr="00C94273">
              <w:rPr>
                <w:rFonts w:cs="Arial"/>
                <w:sz w:val="20"/>
                <w:szCs w:val="20"/>
              </w:rPr>
              <w:t xml:space="preserve"> data package that highlights biodiversity and ecosystem service risk and quickly identifies critical locations that require risk management. </w:t>
            </w:r>
            <w:proofErr w:type="spellStart"/>
            <w:r w:rsidRPr="00C94273">
              <w:rPr>
                <w:rFonts w:cs="Arial"/>
                <w:sz w:val="20"/>
                <w:szCs w:val="20"/>
              </w:rPr>
              <w:t>BestCat</w:t>
            </w:r>
            <w:proofErr w:type="spellEnd"/>
            <w:r w:rsidRPr="00C94273">
              <w:rPr>
                <w:rFonts w:cs="Arial"/>
                <w:sz w:val="20"/>
                <w:szCs w:val="20"/>
              </w:rPr>
              <w:t xml:space="preserve"> analysis provides a basis for developing cost effective risk mitigation approaches by identifying areas that are associated with potential environmental liabilities.”</w:t>
            </w:r>
          </w:p>
        </w:tc>
      </w:tr>
      <w:tr w:rsidR="008276EE" w:rsidRPr="00C94273" w:rsidTr="00762B18">
        <w:trPr>
          <w:cantSplit/>
        </w:trPr>
        <w:tc>
          <w:tcPr>
            <w:tcW w:w="3101" w:type="dxa"/>
          </w:tcPr>
          <w:p w:rsidR="008276EE" w:rsidRPr="00C94273" w:rsidRDefault="001E728F" w:rsidP="001802FC">
            <w:pPr>
              <w:rPr>
                <w:color w:val="0000FF" w:themeColor="hyperlink"/>
                <w:sz w:val="20"/>
                <w:szCs w:val="20"/>
                <w:u w:val="single"/>
              </w:rPr>
            </w:pPr>
            <w:hyperlink r:id="rId37" w:history="1">
              <w:r w:rsidR="008276EE" w:rsidRPr="00C94273">
                <w:rPr>
                  <w:rStyle w:val="Hyperlink"/>
                  <w:sz w:val="20"/>
                  <w:szCs w:val="20"/>
                </w:rPr>
                <w:t>Management Effectiveness Tracking Tool</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WWF &amp; World Bank</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“The Management Effectiveness Tracking Tool (METT or Tracking Tool) has been developed to help track and monitor progress in the achievement of the World Bank/WWF Alliance worldwide protected area management effectiveness target. It is also hoped that the Tracking Tool will be used more generally where it can help monitor progress towards improving management effectiveness . . . . In addition, use of the Tracking Tool can help managers track progress in implementing protected areas commitments under the Convention on Biological Diversity and the Ramsar Convention on Wetlands.”</w:t>
            </w:r>
          </w:p>
        </w:tc>
      </w:tr>
      <w:tr w:rsidR="008276EE" w:rsidRPr="00C94273" w:rsidTr="00762B18">
        <w:trPr>
          <w:cantSplit/>
        </w:trPr>
        <w:tc>
          <w:tcPr>
            <w:tcW w:w="3101" w:type="dxa"/>
          </w:tcPr>
          <w:p w:rsidR="008276EE" w:rsidRPr="00C94273" w:rsidRDefault="001E728F" w:rsidP="001802FC">
            <w:pPr>
              <w:rPr>
                <w:color w:val="0000FF" w:themeColor="hyperlink"/>
                <w:sz w:val="20"/>
                <w:szCs w:val="20"/>
                <w:u w:val="single"/>
              </w:rPr>
            </w:pPr>
            <w:hyperlink r:id="rId38" w:history="1">
              <w:r w:rsidR="005D094F" w:rsidRPr="00C94273">
                <w:rPr>
                  <w:rStyle w:val="Hyperlink"/>
                  <w:sz w:val="20"/>
                  <w:szCs w:val="20"/>
                </w:rPr>
                <w:t>Guidance for National Biodiversity Indicator Development and Use</w:t>
              </w:r>
            </w:hyperlink>
          </w:p>
        </w:tc>
        <w:tc>
          <w:tcPr>
            <w:tcW w:w="1294" w:type="dxa"/>
          </w:tcPr>
          <w:p w:rsidR="008276EE" w:rsidRPr="00C94273" w:rsidRDefault="008276EE" w:rsidP="001802FC">
            <w:pPr>
              <w:rPr>
                <w:rFonts w:cs="Arial"/>
                <w:sz w:val="20"/>
                <w:szCs w:val="20"/>
              </w:rPr>
            </w:pPr>
          </w:p>
        </w:tc>
        <w:tc>
          <w:tcPr>
            <w:tcW w:w="2126" w:type="dxa"/>
          </w:tcPr>
          <w:p w:rsidR="008276EE" w:rsidRPr="00C94273" w:rsidRDefault="008276EE" w:rsidP="001802FC">
            <w:pPr>
              <w:rPr>
                <w:rFonts w:cs="Arial"/>
                <w:sz w:val="20"/>
                <w:szCs w:val="20"/>
              </w:rPr>
            </w:pPr>
          </w:p>
        </w:tc>
        <w:tc>
          <w:tcPr>
            <w:tcW w:w="1418" w:type="dxa"/>
          </w:tcPr>
          <w:p w:rsidR="008276EE" w:rsidRPr="00C94273" w:rsidRDefault="008276EE" w:rsidP="001802FC">
            <w:pPr>
              <w:rPr>
                <w:rFonts w:cs="Arial"/>
                <w:sz w:val="20"/>
                <w:szCs w:val="20"/>
              </w:rPr>
            </w:pPr>
          </w:p>
        </w:tc>
        <w:tc>
          <w:tcPr>
            <w:tcW w:w="1134" w:type="dxa"/>
          </w:tcPr>
          <w:p w:rsidR="008276EE" w:rsidRPr="00C94273" w:rsidRDefault="008276EE" w:rsidP="001802FC">
            <w:pPr>
              <w:rPr>
                <w:sz w:val="20"/>
                <w:szCs w:val="20"/>
              </w:rPr>
            </w:pPr>
            <w:r w:rsidRPr="00C94273">
              <w:rPr>
                <w:rStyle w:val="Hyperlink"/>
                <w:color w:val="auto"/>
                <w:sz w:val="20"/>
                <w:szCs w:val="20"/>
                <w:u w:val="none"/>
              </w:rPr>
              <w:t>EFS (and others)</w:t>
            </w:r>
          </w:p>
        </w:tc>
        <w:tc>
          <w:tcPr>
            <w:tcW w:w="5103" w:type="dxa"/>
          </w:tcPr>
          <w:p w:rsidR="008276EE" w:rsidRPr="00C94273" w:rsidRDefault="008276EE" w:rsidP="001802FC">
            <w:pPr>
              <w:rPr>
                <w:rStyle w:val="Hyperlink"/>
                <w:color w:val="auto"/>
                <w:sz w:val="20"/>
                <w:szCs w:val="20"/>
                <w:u w:val="none"/>
              </w:rPr>
            </w:pPr>
            <w:r w:rsidRPr="00C94273">
              <w:rPr>
                <w:rStyle w:val="Hyperlink"/>
                <w:color w:val="auto"/>
                <w:sz w:val="20"/>
                <w:szCs w:val="20"/>
                <w:u w:val="none"/>
              </w:rPr>
              <w:t>Biodiversity Indicators Partnership</w:t>
            </w:r>
          </w:p>
          <w:p w:rsidR="008276EE" w:rsidRPr="00C94273" w:rsidRDefault="008276EE" w:rsidP="001802FC">
            <w:pPr>
              <w:rPr>
                <w:rFonts w:cs="Arial"/>
                <w:sz w:val="20"/>
                <w:szCs w:val="20"/>
              </w:rPr>
            </w:pPr>
            <w:r w:rsidRPr="00C94273">
              <w:rPr>
                <w:rFonts w:cs="Arial"/>
                <w:sz w:val="20"/>
                <w:szCs w:val="20"/>
                <w:u w:val="single"/>
              </w:rPr>
              <w:t>Summary:</w:t>
            </w:r>
            <w:r w:rsidRPr="00C94273">
              <w:rPr>
                <w:rFonts w:cs="Arial"/>
                <w:sz w:val="20"/>
                <w:szCs w:val="20"/>
              </w:rPr>
              <w:t xml:space="preserve"> “This guidance is designed to help the development of biodiversity indicators at the national level for uses such as reporting, policy-making, environmental management, and education. It is intended principally for the people who produce biodiversity indicators, whether they are in government agencies, academia or NGOs.”</w:t>
            </w:r>
          </w:p>
        </w:tc>
      </w:tr>
    </w:tbl>
    <w:p w:rsidR="00F37463" w:rsidRPr="00C94273" w:rsidRDefault="00F37463" w:rsidP="001802FC">
      <w:pPr>
        <w:spacing w:after="0" w:line="240" w:lineRule="auto"/>
        <w:rPr>
          <w:rFonts w:cs="Arial"/>
          <w:sz w:val="20"/>
          <w:szCs w:val="20"/>
        </w:rPr>
      </w:pPr>
    </w:p>
    <w:p w:rsidR="005B70CC" w:rsidRPr="00C94273" w:rsidRDefault="005B70CC">
      <w:pPr>
        <w:rPr>
          <w:rFonts w:cs="Arial"/>
          <w:sz w:val="20"/>
          <w:szCs w:val="20"/>
        </w:rPr>
      </w:pPr>
      <w:r w:rsidRPr="00C94273">
        <w:rPr>
          <w:rFonts w:cs="Arial"/>
          <w:sz w:val="20"/>
          <w:szCs w:val="20"/>
        </w:rPr>
        <w:br w:type="page"/>
      </w:r>
    </w:p>
    <w:tbl>
      <w:tblPr>
        <w:tblStyle w:val="TableGrid"/>
        <w:tblW w:w="0" w:type="auto"/>
        <w:tblInd w:w="-34" w:type="dxa"/>
        <w:tblLayout w:type="fixed"/>
        <w:tblCellMar>
          <w:top w:w="57" w:type="dxa"/>
          <w:bottom w:w="57" w:type="dxa"/>
        </w:tblCellMar>
        <w:tblLook w:val="04A0" w:firstRow="1" w:lastRow="0" w:firstColumn="1" w:lastColumn="0" w:noHBand="0" w:noVBand="1"/>
      </w:tblPr>
      <w:tblGrid>
        <w:gridCol w:w="3119"/>
        <w:gridCol w:w="1276"/>
        <w:gridCol w:w="2126"/>
        <w:gridCol w:w="1418"/>
        <w:gridCol w:w="1134"/>
        <w:gridCol w:w="5103"/>
      </w:tblGrid>
      <w:tr w:rsidR="00833F2A" w:rsidRPr="00C94273" w:rsidTr="0043685F">
        <w:trPr>
          <w:cantSplit/>
        </w:trPr>
        <w:tc>
          <w:tcPr>
            <w:tcW w:w="14176" w:type="dxa"/>
            <w:gridSpan w:val="6"/>
            <w:shd w:val="clear" w:color="auto" w:fill="FDE9D9" w:themeFill="accent6" w:themeFillTint="33"/>
          </w:tcPr>
          <w:p w:rsidR="00833F2A" w:rsidRPr="00C94273" w:rsidRDefault="00833F2A" w:rsidP="001802FC">
            <w:pPr>
              <w:jc w:val="center"/>
              <w:rPr>
                <w:rFonts w:cs="Arial"/>
                <w:b/>
                <w:sz w:val="20"/>
                <w:szCs w:val="20"/>
              </w:rPr>
            </w:pPr>
            <w:r w:rsidRPr="00C94273">
              <w:rPr>
                <w:rFonts w:cs="Arial"/>
                <w:b/>
                <w:sz w:val="20"/>
                <w:szCs w:val="20"/>
              </w:rPr>
              <w:lastRenderedPageBreak/>
              <w:t xml:space="preserve">Thematic Work Area No. 2: </w:t>
            </w:r>
            <w:r w:rsidRPr="00C94273">
              <w:rPr>
                <w:b/>
                <w:sz w:val="20"/>
                <w:szCs w:val="20"/>
              </w:rPr>
              <w:t>Best practices for developing and implementing tools for Ramsar Sites and other wetlands, recognizing traditional practices of indigenous peoples and local communities</w:t>
            </w:r>
          </w:p>
        </w:tc>
      </w:tr>
      <w:tr w:rsidR="00F37463" w:rsidRPr="00C94273" w:rsidTr="0043685F">
        <w:trPr>
          <w:cantSplit/>
        </w:trPr>
        <w:tc>
          <w:tcPr>
            <w:tcW w:w="3119"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Title</w:t>
            </w:r>
          </w:p>
        </w:tc>
        <w:tc>
          <w:tcPr>
            <w:tcW w:w="1276"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Type of guidance</w:t>
            </w:r>
          </w:p>
        </w:tc>
        <w:tc>
          <w:tcPr>
            <w:tcW w:w="2126"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Target audience (practitioners, policymakers, scientists)</w:t>
            </w:r>
          </w:p>
        </w:tc>
        <w:tc>
          <w:tcPr>
            <w:tcW w:w="1418"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Ramsar Handbook (4</w:t>
            </w:r>
            <w:r w:rsidRPr="00C94273">
              <w:rPr>
                <w:rFonts w:cs="Arial"/>
                <w:b/>
                <w:sz w:val="20"/>
                <w:szCs w:val="20"/>
                <w:vertAlign w:val="superscript"/>
              </w:rPr>
              <w:t>th</w:t>
            </w:r>
            <w:r w:rsidRPr="00C94273">
              <w:rPr>
                <w:rFonts w:cs="Arial"/>
                <w:b/>
                <w:sz w:val="20"/>
                <w:szCs w:val="20"/>
              </w:rPr>
              <w:t xml:space="preserve"> ed.)</w:t>
            </w:r>
          </w:p>
        </w:tc>
        <w:tc>
          <w:tcPr>
            <w:tcW w:w="1134"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Language</w:t>
            </w:r>
            <w:r w:rsidRPr="00C94273">
              <w:rPr>
                <w:rStyle w:val="FootnoteReference"/>
                <w:rFonts w:cs="Arial"/>
                <w:b/>
                <w:sz w:val="20"/>
                <w:szCs w:val="20"/>
              </w:rPr>
              <w:footnoteReference w:id="2"/>
            </w:r>
          </w:p>
        </w:tc>
        <w:tc>
          <w:tcPr>
            <w:tcW w:w="5103" w:type="dxa"/>
            <w:shd w:val="clear" w:color="auto" w:fill="FDE9D9" w:themeFill="accent6" w:themeFillTint="33"/>
          </w:tcPr>
          <w:p w:rsidR="00833F2A" w:rsidRPr="00C94273" w:rsidRDefault="00833F2A" w:rsidP="00833F2A">
            <w:pPr>
              <w:jc w:val="center"/>
              <w:rPr>
                <w:rFonts w:cs="Arial"/>
                <w:b/>
                <w:sz w:val="20"/>
                <w:szCs w:val="20"/>
              </w:rPr>
            </w:pPr>
            <w:r w:rsidRPr="00C94273">
              <w:rPr>
                <w:rFonts w:cs="Arial"/>
                <w:b/>
                <w:sz w:val="20"/>
                <w:szCs w:val="20"/>
              </w:rPr>
              <w:t>Notes</w:t>
            </w:r>
          </w:p>
        </w:tc>
      </w:tr>
      <w:tr w:rsidR="00833F2A" w:rsidRPr="00C94273" w:rsidTr="00F37463">
        <w:trPr>
          <w:cantSplit/>
        </w:trPr>
        <w:tc>
          <w:tcPr>
            <w:tcW w:w="14176" w:type="dxa"/>
            <w:gridSpan w:val="6"/>
            <w:shd w:val="clear" w:color="auto" w:fill="F2F2F2" w:themeFill="background1" w:themeFillShade="F2"/>
          </w:tcPr>
          <w:p w:rsidR="006450F2" w:rsidRPr="00C94273" w:rsidRDefault="006450F2" w:rsidP="001802FC">
            <w:pPr>
              <w:jc w:val="center"/>
              <w:rPr>
                <w:b/>
                <w:sz w:val="20"/>
                <w:szCs w:val="20"/>
              </w:rPr>
            </w:pPr>
            <w:r w:rsidRPr="00C94273">
              <w:rPr>
                <w:b/>
                <w:sz w:val="20"/>
                <w:szCs w:val="20"/>
              </w:rPr>
              <w:t>Ramsar guidance</w:t>
            </w:r>
          </w:p>
        </w:tc>
      </w:tr>
      <w:tr w:rsidR="00833F2A" w:rsidRPr="00C94273" w:rsidTr="0043685F">
        <w:trPr>
          <w:cantSplit/>
        </w:trPr>
        <w:tc>
          <w:tcPr>
            <w:tcW w:w="14176" w:type="dxa"/>
            <w:gridSpan w:val="6"/>
            <w:shd w:val="clear" w:color="auto" w:fill="FDE9D9" w:themeFill="accent6" w:themeFillTint="33"/>
          </w:tcPr>
          <w:p w:rsidR="00947298" w:rsidRPr="00C94273" w:rsidRDefault="00947298" w:rsidP="001802FC">
            <w:pPr>
              <w:rPr>
                <w:sz w:val="20"/>
                <w:szCs w:val="20"/>
                <w:u w:val="single"/>
              </w:rPr>
            </w:pPr>
            <w:r w:rsidRPr="00C94273">
              <w:rPr>
                <w:b/>
                <w:sz w:val="20"/>
                <w:szCs w:val="20"/>
                <w:lang w:val="en-AU"/>
              </w:rPr>
              <w:t>2016-2019 update</w:t>
            </w:r>
          </w:p>
        </w:tc>
      </w:tr>
      <w:tr w:rsidR="00F37463" w:rsidRPr="00C94273" w:rsidTr="00762B18">
        <w:trPr>
          <w:cantSplit/>
        </w:trPr>
        <w:tc>
          <w:tcPr>
            <w:tcW w:w="3119" w:type="dxa"/>
          </w:tcPr>
          <w:p w:rsidR="00181B91" w:rsidRPr="00C94273" w:rsidRDefault="001E728F" w:rsidP="001802FC">
            <w:pPr>
              <w:rPr>
                <w:sz w:val="20"/>
                <w:szCs w:val="20"/>
              </w:rPr>
            </w:pPr>
            <w:hyperlink r:id="rId39" w:history="1">
              <w:r w:rsidR="00181B91" w:rsidRPr="00C94273">
                <w:rPr>
                  <w:rStyle w:val="Hyperlink"/>
                  <w:sz w:val="20"/>
                  <w:szCs w:val="20"/>
                </w:rPr>
                <w:t>Ramsar Sites Management Toolkit</w:t>
              </w:r>
            </w:hyperlink>
          </w:p>
        </w:tc>
        <w:tc>
          <w:tcPr>
            <w:tcW w:w="1276" w:type="dxa"/>
          </w:tcPr>
          <w:p w:rsidR="00181B91" w:rsidRPr="00C94273" w:rsidRDefault="00181B91" w:rsidP="001802FC">
            <w:pPr>
              <w:rPr>
                <w:rFonts w:cs="Arial"/>
                <w:sz w:val="20"/>
                <w:szCs w:val="20"/>
              </w:rPr>
            </w:pPr>
            <w:r w:rsidRPr="00C94273">
              <w:rPr>
                <w:rFonts w:cs="Arial"/>
                <w:sz w:val="20"/>
                <w:szCs w:val="20"/>
              </w:rPr>
              <w:t>Technical</w:t>
            </w:r>
          </w:p>
        </w:tc>
        <w:tc>
          <w:tcPr>
            <w:tcW w:w="2126" w:type="dxa"/>
          </w:tcPr>
          <w:p w:rsidR="00181B91" w:rsidRPr="00C94273" w:rsidRDefault="00181B91" w:rsidP="001802FC">
            <w:pPr>
              <w:rPr>
                <w:rFonts w:cs="Arial"/>
                <w:sz w:val="20"/>
                <w:szCs w:val="20"/>
              </w:rPr>
            </w:pPr>
            <w:r w:rsidRPr="00C94273">
              <w:rPr>
                <w:rFonts w:cs="Arial"/>
                <w:sz w:val="20"/>
                <w:szCs w:val="20"/>
              </w:rPr>
              <w:t>Practitioners</w:t>
            </w:r>
          </w:p>
        </w:tc>
        <w:tc>
          <w:tcPr>
            <w:tcW w:w="1418" w:type="dxa"/>
          </w:tcPr>
          <w:p w:rsidR="00181B91" w:rsidRPr="00C94273" w:rsidRDefault="00181B91" w:rsidP="001802FC">
            <w:pPr>
              <w:rPr>
                <w:sz w:val="20"/>
                <w:szCs w:val="20"/>
              </w:rPr>
            </w:pPr>
          </w:p>
        </w:tc>
        <w:tc>
          <w:tcPr>
            <w:tcW w:w="1134" w:type="dxa"/>
          </w:tcPr>
          <w:p w:rsidR="00181B91" w:rsidRPr="00C94273" w:rsidRDefault="00181B91" w:rsidP="001802FC">
            <w:pPr>
              <w:rPr>
                <w:sz w:val="20"/>
                <w:szCs w:val="20"/>
              </w:rPr>
            </w:pPr>
            <w:r w:rsidRPr="00C94273">
              <w:rPr>
                <w:sz w:val="20"/>
                <w:szCs w:val="20"/>
              </w:rPr>
              <w:t>EFS</w:t>
            </w:r>
          </w:p>
        </w:tc>
        <w:tc>
          <w:tcPr>
            <w:tcW w:w="5103" w:type="dxa"/>
          </w:tcPr>
          <w:p w:rsidR="00181B91" w:rsidRPr="00C94273" w:rsidRDefault="00D023F2" w:rsidP="001802FC">
            <w:pPr>
              <w:rPr>
                <w:sz w:val="20"/>
                <w:szCs w:val="20"/>
              </w:rPr>
            </w:pPr>
            <w:r w:rsidRPr="00C94273">
              <w:rPr>
                <w:sz w:val="20"/>
                <w:szCs w:val="20"/>
                <w:u w:val="single"/>
              </w:rPr>
              <w:t>Summary</w:t>
            </w:r>
            <w:r w:rsidRPr="00C94273">
              <w:rPr>
                <w:sz w:val="20"/>
                <w:szCs w:val="20"/>
              </w:rPr>
              <w:t xml:space="preserve">: </w:t>
            </w:r>
            <w:r w:rsidR="00B35441" w:rsidRPr="00C94273">
              <w:rPr>
                <w:sz w:val="20"/>
                <w:szCs w:val="20"/>
              </w:rPr>
              <w:t>“</w:t>
            </w:r>
            <w:r w:rsidR="009D1778" w:rsidRPr="00C94273">
              <w:rPr>
                <w:sz w:val="20"/>
                <w:szCs w:val="20"/>
              </w:rPr>
              <w:t>The Toolkit is designed to provide simple guidance to site managers on the key steps and components involved in managing a Ramsar Site. It also identifies and provides links to more detailed information on each of those steps, including key non-Ramsar publications where appropriate. It is aimed primarily at managers of Ramsar Sites; however, it can also be used by those managing other wetlands that are not designated as Ramsar Sites</w:t>
            </w:r>
            <w:r w:rsidR="00B35441" w:rsidRPr="00C94273">
              <w:rPr>
                <w:sz w:val="20"/>
                <w:szCs w:val="20"/>
              </w:rPr>
              <w:t>”</w:t>
            </w:r>
            <w:r w:rsidR="009D1778" w:rsidRPr="00C94273">
              <w:rPr>
                <w:sz w:val="20"/>
                <w:szCs w:val="20"/>
              </w:rPr>
              <w:t>.</w:t>
            </w:r>
          </w:p>
        </w:tc>
      </w:tr>
      <w:tr w:rsidR="00833F2A" w:rsidRPr="00C94273" w:rsidTr="00F37463">
        <w:trPr>
          <w:cantSplit/>
        </w:trPr>
        <w:tc>
          <w:tcPr>
            <w:tcW w:w="14176" w:type="dxa"/>
            <w:gridSpan w:val="6"/>
            <w:shd w:val="clear" w:color="auto" w:fill="D9D9D9" w:themeFill="background1" w:themeFillShade="D9"/>
          </w:tcPr>
          <w:p w:rsidR="00947298" w:rsidRPr="00C94273" w:rsidRDefault="00947298" w:rsidP="00F37463">
            <w:pPr>
              <w:keepNext/>
              <w:rPr>
                <w:b/>
                <w:sz w:val="20"/>
                <w:szCs w:val="20"/>
                <w:lang w:val="en-AU"/>
              </w:rPr>
            </w:pPr>
            <w:r w:rsidRPr="00C94273">
              <w:rPr>
                <w:b/>
                <w:sz w:val="20"/>
                <w:szCs w:val="20"/>
                <w:lang w:val="en-AU"/>
              </w:rPr>
              <w:t>Up to 2015</w:t>
            </w:r>
          </w:p>
        </w:tc>
      </w:tr>
      <w:tr w:rsidR="00F37463" w:rsidRPr="00C94273" w:rsidTr="00762B18">
        <w:trPr>
          <w:cantSplit/>
        </w:trPr>
        <w:tc>
          <w:tcPr>
            <w:tcW w:w="3119" w:type="dxa"/>
          </w:tcPr>
          <w:p w:rsidR="008E77D1" w:rsidRPr="00C94273" w:rsidRDefault="001E728F" w:rsidP="001802FC">
            <w:pPr>
              <w:rPr>
                <w:sz w:val="20"/>
                <w:szCs w:val="20"/>
              </w:rPr>
            </w:pPr>
            <w:hyperlink r:id="rId40" w:history="1">
              <w:r w:rsidR="008E77D1" w:rsidRPr="00C94273">
                <w:rPr>
                  <w:rStyle w:val="Hyperlink"/>
                  <w:sz w:val="20"/>
                  <w:szCs w:val="20"/>
                </w:rPr>
                <w:t>Resolution XI.7: Tourism, recreation and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1802FC" w:rsidP="001802FC">
            <w:pPr>
              <w:rPr>
                <w:rFonts w:cs="Arial"/>
                <w:sz w:val="20"/>
                <w:szCs w:val="20"/>
              </w:rPr>
            </w:pPr>
            <w:r w:rsidRPr="00C94273">
              <w:rPr>
                <w:rFonts w:cs="Arial"/>
                <w:sz w:val="20"/>
                <w:szCs w:val="20"/>
              </w:rPr>
              <w:t>Practitioners, p</w:t>
            </w:r>
            <w:r w:rsidR="008E77D1" w:rsidRPr="00C94273">
              <w:rPr>
                <w:rFonts w:cs="Arial"/>
                <w:sz w:val="20"/>
                <w:szCs w:val="20"/>
              </w:rPr>
              <w:t>olicymakers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lang w:val="en-AU"/>
              </w:rPr>
            </w:pPr>
          </w:p>
        </w:tc>
      </w:tr>
      <w:tr w:rsidR="00F37463" w:rsidRPr="00C94273" w:rsidTr="00762B18">
        <w:trPr>
          <w:cantSplit/>
        </w:trPr>
        <w:tc>
          <w:tcPr>
            <w:tcW w:w="3119" w:type="dxa"/>
          </w:tcPr>
          <w:p w:rsidR="008E77D1" w:rsidRPr="00C94273" w:rsidRDefault="001E728F" w:rsidP="001802FC">
            <w:pPr>
              <w:rPr>
                <w:sz w:val="20"/>
                <w:szCs w:val="20"/>
              </w:rPr>
            </w:pPr>
            <w:hyperlink r:id="rId41" w:history="1">
              <w:r w:rsidR="008E77D1" w:rsidRPr="00C94273">
                <w:rPr>
                  <w:rStyle w:val="Hyperlink"/>
                  <w:sz w:val="20"/>
                  <w:szCs w:val="20"/>
                </w:rPr>
                <w:t>Resolution XI.9: An Integrated Framework and guidelines for avoiding, mitigating and compensating for wetland losses</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1802FC" w:rsidP="001802FC">
            <w:pPr>
              <w:rPr>
                <w:rFonts w:cs="Arial"/>
                <w:sz w:val="20"/>
                <w:szCs w:val="20"/>
              </w:rPr>
            </w:pPr>
            <w:r w:rsidRPr="00C94273">
              <w:rPr>
                <w:rFonts w:cs="Arial"/>
                <w:sz w:val="20"/>
                <w:szCs w:val="20"/>
              </w:rPr>
              <w:t>Scientists / policymakers</w:t>
            </w:r>
            <w:r w:rsidR="008E77D1" w:rsidRPr="00C94273">
              <w:rPr>
                <w:rFonts w:cs="Arial"/>
                <w:sz w:val="20"/>
                <w:szCs w:val="20"/>
              </w:rPr>
              <w:t>, 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2" w:history="1">
              <w:r w:rsidR="008E77D1" w:rsidRPr="00C94273">
                <w:rPr>
                  <w:rStyle w:val="Hyperlink"/>
                  <w:sz w:val="20"/>
                  <w:szCs w:val="20"/>
                </w:rPr>
                <w:t xml:space="preserve">Resolution XI.11: Principles for the planning and management of urban and </w:t>
              </w:r>
              <w:proofErr w:type="spellStart"/>
              <w:r w:rsidR="008E77D1" w:rsidRPr="00C94273">
                <w:rPr>
                  <w:rStyle w:val="Hyperlink"/>
                  <w:sz w:val="20"/>
                  <w:szCs w:val="20"/>
                </w:rPr>
                <w:t>peri</w:t>
              </w:r>
              <w:proofErr w:type="spellEnd"/>
              <w:r w:rsidR="008E77D1" w:rsidRPr="00C94273">
                <w:rPr>
                  <w:rStyle w:val="Hyperlink"/>
                  <w:sz w:val="20"/>
                  <w:szCs w:val="20"/>
                </w:rPr>
                <w:t>-urban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3" w:history="1">
              <w:r w:rsidR="008E77D1" w:rsidRPr="00C94273">
                <w:rPr>
                  <w:rStyle w:val="Hyperlink"/>
                  <w:sz w:val="20"/>
                  <w:szCs w:val="20"/>
                </w:rPr>
                <w:t>Resolution XI.12: Wetlands and health: taking an ecosystem approach</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1802FC" w:rsidP="001802FC">
            <w:pPr>
              <w:rPr>
                <w:rFonts w:cs="Arial"/>
                <w:sz w:val="20"/>
                <w:szCs w:val="20"/>
              </w:rPr>
            </w:pPr>
            <w:r w:rsidRPr="00C94273">
              <w:rPr>
                <w:rFonts w:cs="Arial"/>
                <w:sz w:val="20"/>
                <w:szCs w:val="20"/>
              </w:rPr>
              <w:t>Scientists / policymakers</w:t>
            </w:r>
            <w:r w:rsidR="008E77D1" w:rsidRPr="00C94273">
              <w:rPr>
                <w:rFonts w:cs="Arial"/>
                <w:sz w:val="20"/>
                <w:szCs w:val="20"/>
              </w:rPr>
              <w:t>, 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4" w:history="1">
              <w:r w:rsidR="008E77D1" w:rsidRPr="00C94273">
                <w:rPr>
                  <w:rStyle w:val="Hyperlink"/>
                  <w:sz w:val="20"/>
                  <w:szCs w:val="20"/>
                </w:rPr>
                <w:t>Resolution XI.13: An Integrated Framework for linking wetland conservation and wise use with poverty eradication</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5" w:history="1">
              <w:r w:rsidR="008E77D1" w:rsidRPr="00C94273">
                <w:rPr>
                  <w:rStyle w:val="Hyperlink"/>
                  <w:sz w:val="20"/>
                  <w:szCs w:val="20"/>
                </w:rPr>
                <w:t>Resolution X.15: Describing the ecological character of wetlands, and data needs and formats for core inventory: harmonized scientific and technical guidance</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1802FC" w:rsidP="001802FC">
            <w:pPr>
              <w:rPr>
                <w:rFonts w:cs="Arial"/>
                <w:sz w:val="20"/>
                <w:szCs w:val="20"/>
              </w:rPr>
            </w:pPr>
            <w:r w:rsidRPr="00C94273">
              <w:rPr>
                <w:rFonts w:cs="Arial"/>
                <w:sz w:val="20"/>
                <w:szCs w:val="20"/>
              </w:rPr>
              <w:t>Scientists / practitioners</w:t>
            </w:r>
          </w:p>
        </w:tc>
        <w:tc>
          <w:tcPr>
            <w:tcW w:w="1418" w:type="dxa"/>
          </w:tcPr>
          <w:p w:rsidR="008E77D1" w:rsidRPr="00C94273" w:rsidRDefault="008E77D1" w:rsidP="001802FC">
            <w:pPr>
              <w:rPr>
                <w:sz w:val="20"/>
                <w:szCs w:val="20"/>
              </w:rPr>
            </w:pPr>
            <w:r w:rsidRPr="00C94273">
              <w:rPr>
                <w:sz w:val="20"/>
                <w:szCs w:val="20"/>
              </w:rPr>
              <w:t>13, 15, 14, 18, 19</w:t>
            </w:r>
          </w:p>
          <w:p w:rsidR="008E77D1" w:rsidRPr="00C94273" w:rsidRDefault="008E77D1" w:rsidP="001802FC">
            <w:pPr>
              <w:rPr>
                <w:rFonts w:cs="Arial"/>
                <w:sz w:val="20"/>
                <w:szCs w:val="20"/>
              </w:rPr>
            </w:pP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6" w:history="1">
              <w:r w:rsidR="008E77D1" w:rsidRPr="00C94273">
                <w:rPr>
                  <w:rStyle w:val="Hyperlink"/>
                  <w:sz w:val="20"/>
                  <w:szCs w:val="20"/>
                </w:rPr>
                <w:t>Resolution X.16: A Framework for processes of detecting, reporting and responding to change in wetland ecological character</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8E77D1" w:rsidP="001802FC">
            <w:pPr>
              <w:rPr>
                <w:rFonts w:cs="Arial"/>
                <w:sz w:val="20"/>
                <w:szCs w:val="20"/>
              </w:rPr>
            </w:pPr>
            <w:r w:rsidRPr="00C94273">
              <w:rPr>
                <w:rFonts w:cs="Arial"/>
                <w:sz w:val="20"/>
                <w:szCs w:val="20"/>
              </w:rPr>
              <w:t>Practitioners, policymakers</w:t>
            </w:r>
          </w:p>
        </w:tc>
        <w:tc>
          <w:tcPr>
            <w:tcW w:w="1418" w:type="dxa"/>
          </w:tcPr>
          <w:p w:rsidR="008E77D1" w:rsidRPr="00C94273" w:rsidRDefault="008E77D1" w:rsidP="001802FC">
            <w:pPr>
              <w:rPr>
                <w:rFonts w:cs="Arial"/>
                <w:sz w:val="20"/>
                <w:szCs w:val="20"/>
              </w:rPr>
            </w:pPr>
            <w:r w:rsidRPr="00C94273">
              <w:rPr>
                <w:sz w:val="20"/>
                <w:szCs w:val="20"/>
              </w:rPr>
              <w:t>13, 14, 16, 19,</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7" w:history="1">
              <w:r w:rsidR="008E77D1" w:rsidRPr="00C94273">
                <w:rPr>
                  <w:rStyle w:val="Hyperlink"/>
                  <w:sz w:val="20"/>
                  <w:szCs w:val="20"/>
                </w:rPr>
                <w:t>Resolution X.17: Environmental Impact Assessment and Strategic Environmental Assessment: updated scientific and technical guidance</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8E77D1" w:rsidP="001802FC">
            <w:pPr>
              <w:rPr>
                <w:rFonts w:cs="Arial"/>
                <w:sz w:val="20"/>
                <w:szCs w:val="20"/>
              </w:rPr>
            </w:pPr>
            <w:r w:rsidRPr="00C94273">
              <w:rPr>
                <w:rFonts w:cs="Arial"/>
                <w:sz w:val="20"/>
                <w:szCs w:val="20"/>
              </w:rPr>
              <w:t>Practitioner, policymakers</w:t>
            </w:r>
          </w:p>
        </w:tc>
        <w:tc>
          <w:tcPr>
            <w:tcW w:w="1418" w:type="dxa"/>
          </w:tcPr>
          <w:p w:rsidR="008E77D1" w:rsidRPr="00C94273" w:rsidRDefault="008E77D1" w:rsidP="001802FC">
            <w:pPr>
              <w:rPr>
                <w:rFonts w:cs="Arial"/>
                <w:sz w:val="20"/>
                <w:szCs w:val="20"/>
              </w:rPr>
            </w:pPr>
            <w:r w:rsidRPr="00C94273">
              <w:rPr>
                <w:rFonts w:cs="Arial"/>
                <w:sz w:val="20"/>
                <w:szCs w:val="20"/>
              </w:rPr>
              <w:t>16</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8" w:history="1">
              <w:r w:rsidR="008E77D1" w:rsidRPr="00C94273">
                <w:rPr>
                  <w:rStyle w:val="Hyperlink"/>
                  <w:sz w:val="20"/>
                  <w:szCs w:val="20"/>
                </w:rPr>
                <w:t>Resolution X.19: Wetlands and river basin management: consolidated scientific and technical guidance</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8, 9</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49" w:history="1">
              <w:r w:rsidR="008E77D1" w:rsidRPr="00C94273">
                <w:rPr>
                  <w:rStyle w:val="Hyperlink"/>
                  <w:sz w:val="20"/>
                  <w:szCs w:val="20"/>
                </w:rPr>
                <w:t>Resolution X.21: Guidance on responding to the continued spread of highly pathogenic avian influenza</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8E77D1" w:rsidP="001802FC">
            <w:pPr>
              <w:rPr>
                <w:rFonts w:cs="Arial"/>
                <w:sz w:val="20"/>
                <w:szCs w:val="20"/>
              </w:rPr>
            </w:pPr>
            <w:r w:rsidRPr="00C94273">
              <w:rPr>
                <w:rFonts w:cs="Arial"/>
                <w:sz w:val="20"/>
                <w:szCs w:val="20"/>
              </w:rPr>
              <w:t>Scientists</w:t>
            </w:r>
          </w:p>
        </w:tc>
        <w:tc>
          <w:tcPr>
            <w:tcW w:w="1418" w:type="dxa"/>
          </w:tcPr>
          <w:p w:rsidR="008E77D1" w:rsidRPr="00C94273" w:rsidRDefault="008E77D1" w:rsidP="001802FC">
            <w:pPr>
              <w:rPr>
                <w:rFonts w:cs="Arial"/>
                <w:sz w:val="20"/>
                <w:szCs w:val="20"/>
              </w:rPr>
            </w:pPr>
            <w:r w:rsidRPr="00C94273">
              <w:rPr>
                <w:rFonts w:cs="Arial"/>
                <w:sz w:val="20"/>
                <w:szCs w:val="20"/>
              </w:rPr>
              <w:t>4, 1</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0" w:history="1">
              <w:r w:rsidR="008E77D1" w:rsidRPr="00C94273">
                <w:rPr>
                  <w:rStyle w:val="Hyperlink"/>
                  <w:sz w:val="20"/>
                  <w:szCs w:val="20"/>
                </w:rPr>
                <w:t xml:space="preserve">Resolution IX.1, Annex </w:t>
              </w:r>
              <w:proofErr w:type="spellStart"/>
              <w:r w:rsidR="008E77D1" w:rsidRPr="00C94273">
                <w:rPr>
                  <w:rStyle w:val="Hyperlink"/>
                  <w:sz w:val="20"/>
                  <w:szCs w:val="20"/>
                </w:rPr>
                <w:t>Cii</w:t>
              </w:r>
              <w:proofErr w:type="spellEnd"/>
              <w:r w:rsidR="008E77D1" w:rsidRPr="00C94273">
                <w:rPr>
                  <w:rStyle w:val="Hyperlink"/>
                  <w:sz w:val="20"/>
                  <w:szCs w:val="20"/>
                </w:rPr>
                <w:t>: Guidelines for the management of groundwater to maintain wetland ecological character</w:t>
              </w:r>
            </w:hyperlink>
          </w:p>
        </w:tc>
        <w:tc>
          <w:tcPr>
            <w:tcW w:w="1276" w:type="dxa"/>
          </w:tcPr>
          <w:p w:rsidR="008E77D1" w:rsidRPr="00C94273" w:rsidRDefault="001802FC" w:rsidP="001802FC">
            <w:pPr>
              <w:rPr>
                <w:rFonts w:cs="Arial"/>
                <w:sz w:val="20"/>
                <w:szCs w:val="20"/>
              </w:rPr>
            </w:pPr>
            <w:r w:rsidRPr="00C94273">
              <w:rPr>
                <w:rFonts w:cs="Arial"/>
                <w:sz w:val="20"/>
                <w:szCs w:val="20"/>
              </w:rPr>
              <w:t>Scientific / technical</w:t>
            </w:r>
          </w:p>
        </w:tc>
        <w:tc>
          <w:tcPr>
            <w:tcW w:w="2126" w:type="dxa"/>
          </w:tcPr>
          <w:p w:rsidR="008E77D1" w:rsidRPr="00C94273" w:rsidRDefault="008E77D1" w:rsidP="001802FC">
            <w:pPr>
              <w:rPr>
                <w:rFonts w:cs="Arial"/>
                <w:sz w:val="20"/>
                <w:szCs w:val="20"/>
              </w:rPr>
            </w:pPr>
            <w:r w:rsidRPr="00C94273">
              <w:rPr>
                <w:rFonts w:cs="Arial"/>
                <w:sz w:val="20"/>
                <w:szCs w:val="20"/>
              </w:rPr>
              <w:t>Practitioners, policymakers</w:t>
            </w:r>
          </w:p>
        </w:tc>
        <w:tc>
          <w:tcPr>
            <w:tcW w:w="1418" w:type="dxa"/>
          </w:tcPr>
          <w:p w:rsidR="008E77D1" w:rsidRPr="00C94273" w:rsidRDefault="008E77D1" w:rsidP="001802FC">
            <w:pPr>
              <w:rPr>
                <w:rFonts w:cs="Arial"/>
                <w:sz w:val="20"/>
                <w:szCs w:val="20"/>
              </w:rPr>
            </w:pPr>
            <w:r w:rsidRPr="00C94273">
              <w:rPr>
                <w:rFonts w:cs="Arial"/>
                <w:sz w:val="20"/>
                <w:szCs w:val="20"/>
              </w:rPr>
              <w:t>11</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1" w:history="1">
              <w:r w:rsidR="008E77D1" w:rsidRPr="00C94273">
                <w:rPr>
                  <w:rStyle w:val="Hyperlink"/>
                  <w:sz w:val="20"/>
                  <w:szCs w:val="20"/>
                </w:rPr>
                <w:t>Resolution VIII.1: Guidelines for the allocation and management of water for maintaining the ecological functions of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Technical/Scientific</w:t>
            </w:r>
          </w:p>
        </w:tc>
        <w:tc>
          <w:tcPr>
            <w:tcW w:w="2126" w:type="dxa"/>
          </w:tcPr>
          <w:p w:rsidR="008E77D1" w:rsidRPr="00C94273" w:rsidRDefault="008E77D1" w:rsidP="001802FC">
            <w:pPr>
              <w:rPr>
                <w:rFonts w:cs="Arial"/>
                <w:sz w:val="20"/>
                <w:szCs w:val="20"/>
              </w:rPr>
            </w:pPr>
            <w:r w:rsidRPr="00C94273">
              <w:rPr>
                <w:rFonts w:cs="Arial"/>
                <w:sz w:val="20"/>
                <w:szCs w:val="20"/>
              </w:rPr>
              <w:t>Practitioners, policymakers</w:t>
            </w:r>
          </w:p>
        </w:tc>
        <w:tc>
          <w:tcPr>
            <w:tcW w:w="1418" w:type="dxa"/>
          </w:tcPr>
          <w:p w:rsidR="008E77D1" w:rsidRPr="00C94273" w:rsidRDefault="008E77D1" w:rsidP="001802FC">
            <w:pPr>
              <w:rPr>
                <w:rFonts w:cs="Arial"/>
                <w:sz w:val="20"/>
                <w:szCs w:val="20"/>
              </w:rPr>
            </w:pPr>
            <w:r w:rsidRPr="00C94273">
              <w:rPr>
                <w:rFonts w:cs="Arial"/>
                <w:sz w:val="20"/>
                <w:szCs w:val="20"/>
              </w:rPr>
              <w:t>8, 9, 10</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2" w:history="1">
              <w:r w:rsidR="008E77D1" w:rsidRPr="00C94273">
                <w:rPr>
                  <w:rStyle w:val="Hyperlink"/>
                  <w:sz w:val="20"/>
                  <w:szCs w:val="20"/>
                </w:rPr>
                <w:t>Resolution VIII.4: Wetland issues in Integrated Coastal Zone Management (ICZM)</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12</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3" w:history="1">
              <w:r w:rsidR="008E77D1" w:rsidRPr="00C94273">
                <w:rPr>
                  <w:rStyle w:val="Hyperlink"/>
                  <w:sz w:val="20"/>
                  <w:szCs w:val="20"/>
                </w:rPr>
                <w:t>Resolution VIII.14: New Guidelines for management planning for Ramsar sites and other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1802FC"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18</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4" w:history="1">
              <w:r w:rsidR="008E77D1" w:rsidRPr="00C94273">
                <w:rPr>
                  <w:rStyle w:val="Hyperlink"/>
                  <w:sz w:val="20"/>
                  <w:szCs w:val="20"/>
                </w:rPr>
                <w:t>Resolution VIII.16: Principles and guidelines for wetland restoration</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1802FC"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19</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5" w:history="1">
              <w:r w:rsidR="008E77D1" w:rsidRPr="00C94273">
                <w:rPr>
                  <w:rStyle w:val="Hyperlink"/>
                  <w:sz w:val="20"/>
                  <w:szCs w:val="20"/>
                </w:rPr>
                <w:t>Resolution VIII.17: Guidelines for Global Action on Peatlands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15, 18</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6" w:history="1">
              <w:r w:rsidR="008E77D1" w:rsidRPr="00C94273">
                <w:rPr>
                  <w:rStyle w:val="Hyperlink"/>
                  <w:sz w:val="20"/>
                  <w:szCs w:val="20"/>
                </w:rPr>
                <w:t>Resolution VIII.20: General guidance for interpreting “urgent national interests” under Article 2.5 of the Convention and considering compensation under Article 4.2</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w:t>
            </w:r>
          </w:p>
        </w:tc>
        <w:tc>
          <w:tcPr>
            <w:tcW w:w="1418" w:type="dxa"/>
          </w:tcPr>
          <w:p w:rsidR="008E77D1" w:rsidRPr="00C94273" w:rsidRDefault="008E77D1" w:rsidP="001802FC">
            <w:pPr>
              <w:rPr>
                <w:rFonts w:cs="Arial"/>
                <w:sz w:val="20"/>
                <w:szCs w:val="20"/>
              </w:rPr>
            </w:pPr>
            <w:r w:rsidRPr="00C94273">
              <w:rPr>
                <w:rFonts w:cs="Arial"/>
                <w:sz w:val="20"/>
                <w:szCs w:val="20"/>
              </w:rPr>
              <w:t>19</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7" w:history="1">
              <w:r w:rsidR="008E77D1" w:rsidRPr="00C94273">
                <w:rPr>
                  <w:rStyle w:val="Hyperlink"/>
                  <w:sz w:val="20"/>
                  <w:szCs w:val="20"/>
                </w:rPr>
                <w:t>Resolution VIII.33: Guidance for identifying, sustainably managing, and designating temporary pools as Wetlands of International Importance</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r w:rsidRPr="00C94273">
              <w:rPr>
                <w:rFonts w:cs="Arial"/>
                <w:sz w:val="20"/>
                <w:szCs w:val="20"/>
              </w:rPr>
              <w:t>17</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8" w:history="1">
              <w:r w:rsidR="008E77D1" w:rsidRPr="00C94273">
                <w:rPr>
                  <w:rStyle w:val="Hyperlink"/>
                  <w:sz w:val="20"/>
                  <w:szCs w:val="20"/>
                </w:rPr>
                <w:t>Resolution VIII.36: Participatory Environmental Management (PEM) as a tool for management and wise use of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7</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59" w:history="1">
              <w:r w:rsidR="008E77D1" w:rsidRPr="00C94273">
                <w:rPr>
                  <w:rStyle w:val="Hyperlink"/>
                  <w:sz w:val="20"/>
                  <w:szCs w:val="20"/>
                </w:rPr>
                <w:t>Resolution VII.8: Guidelines for establishing and strengthening local communities’ and indigenous people’s participation in the management of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r w:rsidRPr="00C94273">
              <w:rPr>
                <w:rFonts w:cs="Arial"/>
                <w:sz w:val="20"/>
                <w:szCs w:val="20"/>
              </w:rPr>
              <w:t>7</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60" w:history="1">
              <w:r w:rsidR="008E77D1" w:rsidRPr="00C94273">
                <w:rPr>
                  <w:rStyle w:val="Hyperlink"/>
                  <w:sz w:val="20"/>
                  <w:szCs w:val="20"/>
                </w:rPr>
                <w:t>Resolution VII.10: Wetland Risk Assessment Framework</w:t>
              </w:r>
            </w:hyperlink>
          </w:p>
        </w:tc>
        <w:tc>
          <w:tcPr>
            <w:tcW w:w="1276" w:type="dxa"/>
          </w:tcPr>
          <w:p w:rsidR="008E77D1" w:rsidRPr="00C94273" w:rsidRDefault="008E77D1" w:rsidP="001802FC">
            <w:pPr>
              <w:rPr>
                <w:rFonts w:cs="Arial"/>
                <w:sz w:val="20"/>
                <w:szCs w:val="20"/>
              </w:rPr>
            </w:pPr>
            <w:r w:rsidRPr="00C94273">
              <w:rPr>
                <w:rFonts w:cs="Arial"/>
                <w:sz w:val="20"/>
                <w:szCs w:val="20"/>
              </w:rPr>
              <w:t>Technical/Scientific</w:t>
            </w:r>
          </w:p>
        </w:tc>
        <w:tc>
          <w:tcPr>
            <w:tcW w:w="2126" w:type="dxa"/>
          </w:tcPr>
          <w:p w:rsidR="008E77D1" w:rsidRPr="00C94273" w:rsidRDefault="001802FC" w:rsidP="001802FC">
            <w:pPr>
              <w:rPr>
                <w:rFonts w:cs="Arial"/>
                <w:sz w:val="20"/>
                <w:szCs w:val="20"/>
              </w:rPr>
            </w:pPr>
            <w:r w:rsidRPr="00C94273">
              <w:rPr>
                <w:rFonts w:cs="Arial"/>
                <w:sz w:val="20"/>
                <w:szCs w:val="20"/>
              </w:rPr>
              <w:t xml:space="preserve">Scientists </w:t>
            </w:r>
            <w:r w:rsidR="008E77D1" w:rsidRPr="00C94273">
              <w:rPr>
                <w:rFonts w:cs="Arial"/>
                <w:sz w:val="20"/>
                <w:szCs w:val="20"/>
              </w:rPr>
              <w:t>/</w:t>
            </w:r>
            <w:r w:rsidRPr="00C94273">
              <w:rPr>
                <w:rFonts w:cs="Arial"/>
                <w:sz w:val="20"/>
                <w:szCs w:val="20"/>
              </w:rPr>
              <w:t xml:space="preserve"> p</w:t>
            </w:r>
            <w:r w:rsidR="008E77D1" w:rsidRPr="00C94273">
              <w:rPr>
                <w:rFonts w:cs="Arial"/>
                <w:sz w:val="20"/>
                <w:szCs w:val="20"/>
              </w:rPr>
              <w:t>ractitioners</w:t>
            </w:r>
          </w:p>
        </w:tc>
        <w:tc>
          <w:tcPr>
            <w:tcW w:w="1418" w:type="dxa"/>
          </w:tcPr>
          <w:p w:rsidR="008E77D1" w:rsidRPr="00C94273" w:rsidRDefault="008E77D1" w:rsidP="001802FC">
            <w:pPr>
              <w:rPr>
                <w:rFonts w:cs="Arial"/>
                <w:sz w:val="20"/>
                <w:szCs w:val="20"/>
              </w:rPr>
            </w:pPr>
            <w:r w:rsidRPr="00C94273">
              <w:rPr>
                <w:sz w:val="20"/>
                <w:szCs w:val="20"/>
              </w:rPr>
              <w:t>18, 13</w:t>
            </w:r>
          </w:p>
        </w:tc>
        <w:tc>
          <w:tcPr>
            <w:tcW w:w="1134" w:type="dxa"/>
          </w:tcPr>
          <w:p w:rsidR="008E77D1" w:rsidRPr="00C94273" w:rsidRDefault="008E77D1" w:rsidP="001802FC">
            <w:pPr>
              <w:rPr>
                <w:sz w:val="20"/>
                <w:szCs w:val="20"/>
              </w:rPr>
            </w:pPr>
            <w:r w:rsidRPr="00C94273">
              <w:rPr>
                <w:sz w:val="20"/>
                <w:szCs w:val="20"/>
              </w:rPr>
              <w:t>EFS</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8E77D1" w:rsidP="001802FC">
            <w:pPr>
              <w:rPr>
                <w:sz w:val="20"/>
                <w:szCs w:val="20"/>
              </w:rPr>
            </w:pPr>
            <w:r w:rsidRPr="00C94273">
              <w:rPr>
                <w:sz w:val="20"/>
                <w:szCs w:val="20"/>
              </w:rPr>
              <w:t>.</w:t>
            </w:r>
            <w:hyperlink r:id="rId61" w:history="1">
              <w:r w:rsidRPr="00C94273">
                <w:rPr>
                  <w:rStyle w:val="Hyperlink"/>
                  <w:sz w:val="20"/>
                  <w:szCs w:val="20"/>
                </w:rPr>
                <w:t>COP12 DOC.20: Information Paper: Management effectiveness assessments for Ramsar Sites</w:t>
              </w:r>
            </w:hyperlink>
            <w:r w:rsidRPr="00C94273">
              <w:rPr>
                <w:rStyle w:val="Hyperlink"/>
                <w:sz w:val="20"/>
                <w:szCs w:val="20"/>
              </w:rPr>
              <w:t xml:space="preserve"> (</w:t>
            </w:r>
            <w:hyperlink r:id="rId62" w:history="1">
              <w:r w:rsidRPr="00C94273">
                <w:rPr>
                  <w:rStyle w:val="Hyperlink"/>
                  <w:sz w:val="20"/>
                  <w:szCs w:val="20"/>
                </w:rPr>
                <w:t>Resolution XII.15: Evaluation of the management and conservation effectiveness of Ramsar Sites</w:t>
              </w:r>
            </w:hyperlink>
            <w:r w:rsidRPr="00C94273">
              <w:rPr>
                <w:rStyle w:val="Hyperlink"/>
                <w:sz w:val="20"/>
                <w:szCs w:val="20"/>
              </w:rPr>
              <w:t>)</w:t>
            </w:r>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rFonts w:cs="Arial"/>
                <w:sz w:val="20"/>
                <w:szCs w:val="20"/>
              </w:rPr>
            </w:pPr>
            <w:r w:rsidRPr="00C94273">
              <w:rPr>
                <w:rFonts w:cs="Arial"/>
                <w:sz w:val="20"/>
                <w:szCs w:val="20"/>
              </w:rPr>
              <w:t>EFS</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paper provides information about “Protected Area Management Effectiveness (PAME) assessment tools” and how PAME tools may be used at Ramsar Sites. The paper also discusses “[w]</w:t>
            </w:r>
            <w:proofErr w:type="spellStart"/>
            <w:r w:rsidRPr="00C94273">
              <w:rPr>
                <w:rFonts w:cs="Arial"/>
                <w:sz w:val="20"/>
                <w:szCs w:val="20"/>
              </w:rPr>
              <w:t>hich</w:t>
            </w:r>
            <w:proofErr w:type="spellEnd"/>
            <w:r w:rsidRPr="00C94273">
              <w:rPr>
                <w:rFonts w:cs="Arial"/>
                <w:sz w:val="20"/>
                <w:szCs w:val="20"/>
              </w:rPr>
              <w:t xml:space="preserve"> PAME methodology is suitable for Ramsar Sites.”</w:t>
            </w:r>
          </w:p>
        </w:tc>
      </w:tr>
      <w:tr w:rsidR="00F37463" w:rsidRPr="00C94273" w:rsidTr="00762B18">
        <w:trPr>
          <w:cantSplit/>
        </w:trPr>
        <w:tc>
          <w:tcPr>
            <w:tcW w:w="3119" w:type="dxa"/>
          </w:tcPr>
          <w:p w:rsidR="008E77D1" w:rsidRPr="00C94273" w:rsidRDefault="001E728F" w:rsidP="001802FC">
            <w:pPr>
              <w:rPr>
                <w:rStyle w:val="Hyperlink"/>
                <w:sz w:val="20"/>
                <w:szCs w:val="20"/>
              </w:rPr>
            </w:pPr>
            <w:hyperlink r:id="rId63" w:history="1">
              <w:r w:rsidR="008E77D1" w:rsidRPr="00C94273">
                <w:rPr>
                  <w:rStyle w:val="Hyperlink"/>
                  <w:sz w:val="20"/>
                  <w:szCs w:val="20"/>
                </w:rPr>
                <w:t>COP11 DOC. 24: Limits of Acceptable Change</w:t>
              </w:r>
            </w:hyperlink>
            <w:r w:rsidR="008E77D1" w:rsidRPr="00C94273">
              <w:rPr>
                <w:rStyle w:val="Hyperlink"/>
                <w:sz w:val="20"/>
                <w:szCs w:val="20"/>
              </w:rPr>
              <w:t>.</w:t>
            </w:r>
          </w:p>
          <w:p w:rsidR="008E77D1" w:rsidRPr="00C94273" w:rsidRDefault="008E77D1" w:rsidP="001802FC">
            <w:pPr>
              <w:rPr>
                <w:sz w:val="20"/>
                <w:szCs w:val="20"/>
              </w:rPr>
            </w:pPr>
            <w:r w:rsidRPr="00C94273">
              <w:rPr>
                <w:sz w:val="20"/>
                <w:szCs w:val="20"/>
              </w:rPr>
              <w:t xml:space="preserve">(Resolution XI.4, the Status of Sites in the List of Wetlands of International Importance). </w:t>
            </w:r>
          </w:p>
        </w:tc>
        <w:tc>
          <w:tcPr>
            <w:tcW w:w="1276" w:type="dxa"/>
          </w:tcPr>
          <w:p w:rsidR="008E77D1" w:rsidRPr="00C94273" w:rsidRDefault="008E77D1" w:rsidP="001802FC">
            <w:pPr>
              <w:rPr>
                <w:rFonts w:cs="Arial"/>
                <w:sz w:val="20"/>
                <w:szCs w:val="20"/>
              </w:rPr>
            </w:pPr>
            <w:r w:rsidRPr="00C94273">
              <w:rPr>
                <w:rFonts w:cs="Arial"/>
                <w:sz w:val="20"/>
                <w:szCs w:val="20"/>
              </w:rPr>
              <w:t>Technical/Scientific</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r w:rsidRPr="00C94273">
              <w:rPr>
                <w:sz w:val="20"/>
                <w:szCs w:val="20"/>
              </w:rPr>
              <w:t>Not yet included in a Handbook</w:t>
            </w: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paper gives a broad overview of existing approaches and other considerations concerning the definition and operation of concepts and approaches for ‘limits of acceptable change’ (LAC) which may be applicable to the Ramsar context of defining and detecting change in the ecological character of wetlands, as required by Article 3.2.”</w:t>
            </w:r>
          </w:p>
        </w:tc>
      </w:tr>
      <w:tr w:rsidR="00F37463" w:rsidRPr="00C94273" w:rsidTr="00762B18">
        <w:trPr>
          <w:cantSplit/>
        </w:trPr>
        <w:tc>
          <w:tcPr>
            <w:tcW w:w="3119" w:type="dxa"/>
          </w:tcPr>
          <w:p w:rsidR="008E77D1" w:rsidRPr="00C94273" w:rsidRDefault="001E728F" w:rsidP="001802FC">
            <w:pPr>
              <w:rPr>
                <w:sz w:val="20"/>
                <w:szCs w:val="20"/>
              </w:rPr>
            </w:pPr>
            <w:hyperlink r:id="rId64" w:history="1">
              <w:r w:rsidR="008E77D1" w:rsidRPr="00C94273">
                <w:rPr>
                  <w:rStyle w:val="Hyperlink"/>
                  <w:sz w:val="20"/>
                  <w:szCs w:val="20"/>
                </w:rPr>
                <w:t>COP10 DOC. 33: Enhancing wetland wise use: a guide for capacity development</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r w:rsidR="001802FC" w:rsidRPr="00C94273">
              <w:rPr>
                <w:rFonts w:cs="Arial"/>
                <w:sz w:val="20"/>
                <w:szCs w:val="20"/>
              </w:rPr>
              <w:t xml:space="preserve"> </w:t>
            </w:r>
            <w:r w:rsidRPr="00C94273">
              <w:rPr>
                <w:rFonts w:cs="Arial"/>
                <w:sz w:val="20"/>
                <w:szCs w:val="20"/>
              </w:rPr>
              <w:t>/</w:t>
            </w:r>
            <w:r w:rsidR="001802FC" w:rsidRPr="00C94273">
              <w:rPr>
                <w:rFonts w:cs="Arial"/>
                <w:sz w:val="20"/>
                <w:szCs w:val="20"/>
              </w:rPr>
              <w:t xml:space="preserve"> po</w:t>
            </w:r>
            <w:r w:rsidRPr="00C94273">
              <w:rPr>
                <w:rFonts w:cs="Arial"/>
                <w:sz w:val="20"/>
                <w:szCs w:val="20"/>
              </w:rPr>
              <w:t>licymakers</w:t>
            </w:r>
          </w:p>
        </w:tc>
        <w:tc>
          <w:tcPr>
            <w:tcW w:w="1418" w:type="dxa"/>
          </w:tcPr>
          <w:p w:rsidR="008E77D1" w:rsidRPr="00C94273" w:rsidRDefault="008E77D1" w:rsidP="001802FC">
            <w:pPr>
              <w:rPr>
                <w:rFonts w:cs="Arial"/>
                <w:sz w:val="20"/>
                <w:szCs w:val="20"/>
              </w:rPr>
            </w:pPr>
            <w:r w:rsidRPr="00C94273">
              <w:rPr>
                <w:sz w:val="20"/>
                <w:szCs w:val="20"/>
              </w:rPr>
              <w:t>Not included in a Handbook</w:t>
            </w: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document presents a guide for establishing capacity development programmes at national and regional level to support wetland management. It provides the Contracting Parties of the Ramsar Convention and in particular the Ramsar Administrative Authorities with a stepwise approach for developing and implementing capacity development activities in support of the Convention.”</w:t>
            </w:r>
          </w:p>
        </w:tc>
      </w:tr>
      <w:tr w:rsidR="00F37463" w:rsidRPr="00C94273" w:rsidTr="00762B18">
        <w:trPr>
          <w:cantSplit/>
        </w:trPr>
        <w:tc>
          <w:tcPr>
            <w:tcW w:w="3119" w:type="dxa"/>
          </w:tcPr>
          <w:p w:rsidR="008E77D1" w:rsidRPr="00C94273" w:rsidRDefault="001E728F" w:rsidP="001802FC">
            <w:pPr>
              <w:rPr>
                <w:rFonts w:eastAsia="Times New Roman" w:cs="Times New Roman"/>
                <w:sz w:val="20"/>
                <w:szCs w:val="20"/>
                <w:lang w:eastAsia="en-GB"/>
              </w:rPr>
            </w:pPr>
            <w:hyperlink r:id="rId65" w:history="1">
              <w:r w:rsidR="008E77D1" w:rsidRPr="00C94273">
                <w:rPr>
                  <w:rStyle w:val="Hyperlink"/>
                  <w:sz w:val="20"/>
                  <w:szCs w:val="20"/>
                </w:rPr>
                <w:t>COP10 DOC. 27: Background and rationale to the Framework for processes of detecting, reporting and responding to change in wetland ecological character</w:t>
              </w:r>
            </w:hyperlink>
            <w:r w:rsidR="008E77D1" w:rsidRPr="00C94273">
              <w:rPr>
                <w:sz w:val="20"/>
                <w:szCs w:val="20"/>
              </w:rPr>
              <w:t xml:space="preserve"> (Resolution X.16. </w:t>
            </w:r>
            <w:r w:rsidR="008E77D1" w:rsidRPr="00C94273">
              <w:rPr>
                <w:rFonts w:eastAsia="Times New Roman" w:cs="Times New Roman"/>
                <w:bCs/>
                <w:sz w:val="20"/>
                <w:szCs w:val="20"/>
                <w:lang w:eastAsia="en-GB"/>
              </w:rPr>
              <w:t>A Framework for processes of detecting, reporting and responding to change in wetland ecological character)</w:t>
            </w:r>
          </w:p>
          <w:p w:rsidR="008E77D1" w:rsidRPr="00C94273" w:rsidRDefault="008E77D1" w:rsidP="001802FC">
            <w:pPr>
              <w:rPr>
                <w:sz w:val="20"/>
                <w:szCs w:val="20"/>
              </w:rPr>
            </w:pPr>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r w:rsidRPr="00C94273">
              <w:rPr>
                <w:rFonts w:cs="Arial"/>
                <w:sz w:val="20"/>
                <w:szCs w:val="20"/>
              </w:rPr>
              <w:t>19</w:t>
            </w:r>
          </w:p>
        </w:tc>
        <w:tc>
          <w:tcPr>
            <w:tcW w:w="1134" w:type="dxa"/>
          </w:tcPr>
          <w:p w:rsidR="008E77D1" w:rsidRPr="00C94273" w:rsidRDefault="008E77D1" w:rsidP="001802FC">
            <w:pPr>
              <w:rPr>
                <w:rFonts w:cs="Arial"/>
                <w:sz w:val="20"/>
                <w:szCs w:val="20"/>
              </w:rPr>
            </w:pPr>
            <w:r w:rsidRPr="00C94273">
              <w:rPr>
                <w:rFonts w:cs="Arial"/>
                <w:sz w:val="20"/>
                <w:szCs w:val="20"/>
              </w:rPr>
              <w:t>EFS</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“Draft Resolution DR16 presents a ‘Framework for processes of detecting, reporting and responding to change in wetland ecological character’, as drawn up by the Ramsar Convention’s Scientific &amp; Technical Review Panel in response to a request from the Parties at the 8th meeting of the Conference of the Contracting Parties (COP8, 2002). The present Information Document provides a more detailed supporting rationale for the Framework. It reviews what guidance is already available . . . and identifies gaps in various places in the processes where further guidance may be needed.”</w:t>
            </w:r>
          </w:p>
        </w:tc>
      </w:tr>
      <w:tr w:rsidR="00F37463" w:rsidRPr="00C94273" w:rsidTr="00762B18">
        <w:trPr>
          <w:cantSplit/>
        </w:trPr>
        <w:tc>
          <w:tcPr>
            <w:tcW w:w="3119" w:type="dxa"/>
          </w:tcPr>
          <w:p w:rsidR="008E77D1" w:rsidRPr="00C94273" w:rsidRDefault="001E728F" w:rsidP="001802FC">
            <w:pPr>
              <w:rPr>
                <w:sz w:val="20"/>
                <w:szCs w:val="20"/>
              </w:rPr>
            </w:pPr>
            <w:hyperlink r:id="rId66" w:history="1">
              <w:r w:rsidR="008E77D1" w:rsidRPr="00C94273">
                <w:rPr>
                  <w:rStyle w:val="Hyperlink"/>
                  <w:sz w:val="20"/>
                  <w:szCs w:val="20"/>
                </w:rPr>
                <w:t xml:space="preserve">STRP Briefing Note No. 6: Towards the wise use of urban and </w:t>
              </w:r>
              <w:proofErr w:type="spellStart"/>
              <w:r w:rsidR="008E77D1" w:rsidRPr="00C94273">
                <w:rPr>
                  <w:rStyle w:val="Hyperlink"/>
                  <w:sz w:val="20"/>
                  <w:szCs w:val="20"/>
                </w:rPr>
                <w:t>peri</w:t>
              </w:r>
              <w:proofErr w:type="spellEnd"/>
              <w:r w:rsidR="008E77D1" w:rsidRPr="00C94273">
                <w:rPr>
                  <w:rStyle w:val="Hyperlink"/>
                  <w:sz w:val="20"/>
                  <w:szCs w:val="20"/>
                </w:rPr>
                <w:t>-urban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 practitioners</w:t>
            </w:r>
          </w:p>
        </w:tc>
        <w:tc>
          <w:tcPr>
            <w:tcW w:w="1418" w:type="dxa"/>
          </w:tcPr>
          <w:p w:rsidR="008E77D1" w:rsidRPr="00C94273" w:rsidRDefault="008E77D1" w:rsidP="001802FC">
            <w:pPr>
              <w:rPr>
                <w:rFonts w:cs="Arial"/>
                <w:sz w:val="20"/>
                <w:szCs w:val="20"/>
              </w:rPr>
            </w:pP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Briefing Note expands on the principles for the planning and management of urban and </w:t>
            </w:r>
            <w:proofErr w:type="spellStart"/>
            <w:r w:rsidRPr="00C94273">
              <w:rPr>
                <w:rFonts w:cs="Arial"/>
                <w:sz w:val="20"/>
                <w:szCs w:val="20"/>
              </w:rPr>
              <w:t>peri</w:t>
            </w:r>
            <w:proofErr w:type="spellEnd"/>
            <w:r w:rsidRPr="00C94273">
              <w:rPr>
                <w:rFonts w:cs="Arial"/>
                <w:sz w:val="20"/>
                <w:szCs w:val="20"/>
              </w:rPr>
              <w:t>-urban wetlands agreed by the Contracting Parties to the Ramsar Convention, and aims to help managers and planners of towns and cities ensure the wise use of wetlands.”</w:t>
            </w:r>
          </w:p>
        </w:tc>
      </w:tr>
      <w:tr w:rsidR="00F37463" w:rsidRPr="00C94273" w:rsidTr="00762B18">
        <w:trPr>
          <w:cantSplit/>
        </w:trPr>
        <w:tc>
          <w:tcPr>
            <w:tcW w:w="3119" w:type="dxa"/>
          </w:tcPr>
          <w:p w:rsidR="008E77D1" w:rsidRPr="00C94273" w:rsidRDefault="008E77D1" w:rsidP="001802FC">
            <w:pPr>
              <w:rPr>
                <w:sz w:val="20"/>
                <w:szCs w:val="20"/>
              </w:rPr>
            </w:pPr>
            <w:r w:rsidRPr="00C94273">
              <w:rPr>
                <w:sz w:val="20"/>
                <w:szCs w:val="20"/>
              </w:rPr>
              <w:t>Ongoing draft from last triennium STRP Briefing Note No. ____: A guide to available guidance on IAS (forthcoming; title to be finalized)</w:t>
            </w:r>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p>
        </w:tc>
      </w:tr>
      <w:tr w:rsidR="00F37463" w:rsidRPr="00C94273" w:rsidTr="00762B18">
        <w:trPr>
          <w:cantSplit/>
        </w:trPr>
        <w:tc>
          <w:tcPr>
            <w:tcW w:w="3119" w:type="dxa"/>
          </w:tcPr>
          <w:p w:rsidR="008E77D1" w:rsidRPr="00C94273" w:rsidRDefault="001E728F" w:rsidP="001802FC">
            <w:pPr>
              <w:rPr>
                <w:sz w:val="20"/>
                <w:szCs w:val="20"/>
              </w:rPr>
            </w:pPr>
            <w:hyperlink r:id="rId67" w:history="1">
              <w:r w:rsidR="008E77D1" w:rsidRPr="00C94273">
                <w:rPr>
                  <w:rStyle w:val="Hyperlink"/>
                  <w:sz w:val="20"/>
                  <w:szCs w:val="20"/>
                </w:rPr>
                <w:t>Ramsar Technical Report No. 7: Ramsar Wetland Disease Manual: Guidelines for Assessment, Monitoring and Management of Animal Disease in Wetlands</w:t>
              </w:r>
            </w:hyperlink>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 policymakers</w:t>
            </w:r>
          </w:p>
        </w:tc>
        <w:tc>
          <w:tcPr>
            <w:tcW w:w="1418" w:type="dxa"/>
          </w:tcPr>
          <w:p w:rsidR="008E77D1" w:rsidRPr="00C94273" w:rsidRDefault="008E77D1" w:rsidP="001802FC">
            <w:pPr>
              <w:rPr>
                <w:rFonts w:cs="Arial"/>
                <w:sz w:val="20"/>
                <w:szCs w:val="20"/>
              </w:rPr>
            </w:pP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Manual is intended to provide the reader with an overview of the principles and practicalities of managing animal diseases at wetland sites. The Manual highlights the importance of including disease prevention and control in wetland management plans and provides guidelines on how to do so. It should be used in conjunction with Ramsar Handbook No. 18 on Managing Wetlands.”</w:t>
            </w:r>
          </w:p>
        </w:tc>
      </w:tr>
      <w:tr w:rsidR="00F37463" w:rsidRPr="00C94273" w:rsidTr="00762B18">
        <w:trPr>
          <w:cantSplit/>
        </w:trPr>
        <w:tc>
          <w:tcPr>
            <w:tcW w:w="3119" w:type="dxa"/>
          </w:tcPr>
          <w:p w:rsidR="008E77D1" w:rsidRPr="00C94273" w:rsidRDefault="001E728F" w:rsidP="001802FC">
            <w:pPr>
              <w:rPr>
                <w:sz w:val="20"/>
                <w:szCs w:val="20"/>
              </w:rPr>
            </w:pPr>
            <w:hyperlink r:id="rId68" w:history="1">
              <w:r w:rsidR="008E77D1" w:rsidRPr="00C94273">
                <w:rPr>
                  <w:rStyle w:val="Hyperlink"/>
                  <w:sz w:val="20"/>
                  <w:szCs w:val="20"/>
                </w:rPr>
                <w:t>Ramsar Technical Report No. 9: Determination and  implementation of environmental water requirements for estuaries</w:t>
              </w:r>
            </w:hyperlink>
          </w:p>
        </w:tc>
        <w:tc>
          <w:tcPr>
            <w:tcW w:w="1276" w:type="dxa"/>
          </w:tcPr>
          <w:p w:rsidR="008E77D1" w:rsidRPr="00C94273" w:rsidRDefault="008E77D1" w:rsidP="001802FC">
            <w:pPr>
              <w:rPr>
                <w:rFonts w:cs="Arial"/>
                <w:sz w:val="20"/>
                <w:szCs w:val="20"/>
              </w:rPr>
            </w:pPr>
            <w:r w:rsidRPr="00C94273">
              <w:rPr>
                <w:rFonts w:cs="Arial"/>
                <w:sz w:val="20"/>
                <w:szCs w:val="20"/>
              </w:rPr>
              <w:t>Technical/Scientific</w:t>
            </w:r>
          </w:p>
        </w:tc>
        <w:tc>
          <w:tcPr>
            <w:tcW w:w="2126" w:type="dxa"/>
          </w:tcPr>
          <w:p w:rsidR="008E77D1" w:rsidRPr="00C94273" w:rsidRDefault="001802FC" w:rsidP="001802FC">
            <w:pPr>
              <w:rPr>
                <w:rFonts w:cs="Arial"/>
                <w:sz w:val="20"/>
                <w:szCs w:val="20"/>
              </w:rPr>
            </w:pPr>
            <w:r w:rsidRPr="00C94273">
              <w:rPr>
                <w:rFonts w:cs="Arial"/>
                <w:sz w:val="20"/>
                <w:szCs w:val="20"/>
              </w:rPr>
              <w:t>Scientists / practitioners</w:t>
            </w:r>
          </w:p>
        </w:tc>
        <w:tc>
          <w:tcPr>
            <w:tcW w:w="1418" w:type="dxa"/>
          </w:tcPr>
          <w:p w:rsidR="008E77D1" w:rsidRPr="00C94273" w:rsidRDefault="008E77D1" w:rsidP="001802FC">
            <w:pPr>
              <w:rPr>
                <w:rFonts w:cs="Arial"/>
                <w:sz w:val="20"/>
                <w:szCs w:val="20"/>
              </w:rPr>
            </w:pP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u w:val="single"/>
              </w:rPr>
              <w:t>Summary:</w:t>
            </w:r>
            <w:r w:rsidRPr="00C94273">
              <w:rPr>
                <w:rFonts w:cs="Arial"/>
                <w:sz w:val="20"/>
                <w:szCs w:val="20"/>
              </w:rPr>
              <w:t xml:space="preserve"> “This report provides a review of available methods for determining the environmental water requirements of estuaries, as well as a discussion of trends in method development and requirements for the successful implementation of environmental water requirements.”</w:t>
            </w:r>
          </w:p>
        </w:tc>
      </w:tr>
      <w:tr w:rsidR="00F37463" w:rsidRPr="00C94273" w:rsidTr="00762B18">
        <w:trPr>
          <w:cantSplit/>
        </w:trPr>
        <w:tc>
          <w:tcPr>
            <w:tcW w:w="3119" w:type="dxa"/>
          </w:tcPr>
          <w:p w:rsidR="008E77D1" w:rsidRPr="00C94273" w:rsidRDefault="008E77D1" w:rsidP="001802FC">
            <w:pPr>
              <w:rPr>
                <w:sz w:val="20"/>
                <w:szCs w:val="20"/>
              </w:rPr>
            </w:pPr>
            <w:r w:rsidRPr="00C94273">
              <w:rPr>
                <w:sz w:val="20"/>
                <w:szCs w:val="20"/>
              </w:rPr>
              <w:lastRenderedPageBreak/>
              <w:t>Internal Report: Change in ecological character of wetland sites – Ramsar guidance and mechanisms (2014)</w:t>
            </w:r>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Practitioners</w:t>
            </w:r>
          </w:p>
        </w:tc>
        <w:tc>
          <w:tcPr>
            <w:tcW w:w="1418" w:type="dxa"/>
          </w:tcPr>
          <w:p w:rsidR="008E77D1" w:rsidRPr="00C94273" w:rsidRDefault="008E77D1" w:rsidP="001802FC">
            <w:pPr>
              <w:rPr>
                <w:rFonts w:cs="Arial"/>
                <w:sz w:val="20"/>
                <w:szCs w:val="20"/>
              </w:rPr>
            </w:pPr>
          </w:p>
        </w:tc>
        <w:tc>
          <w:tcPr>
            <w:tcW w:w="1134" w:type="dxa"/>
          </w:tcPr>
          <w:p w:rsidR="008E77D1" w:rsidRPr="00C94273" w:rsidRDefault="008E77D1" w:rsidP="001802FC">
            <w:pPr>
              <w:rPr>
                <w:rFonts w:cs="Arial"/>
                <w:sz w:val="20"/>
                <w:szCs w:val="20"/>
              </w:rPr>
            </w:pPr>
            <w:r w:rsidRPr="00C94273">
              <w:rPr>
                <w:rFonts w:cs="Arial"/>
                <w:sz w:val="20"/>
                <w:szCs w:val="20"/>
              </w:rPr>
              <w:t>E</w:t>
            </w:r>
          </w:p>
        </w:tc>
        <w:tc>
          <w:tcPr>
            <w:tcW w:w="5103" w:type="dxa"/>
          </w:tcPr>
          <w:p w:rsidR="008E77D1" w:rsidRPr="00C94273" w:rsidRDefault="008E77D1" w:rsidP="001802FC">
            <w:pPr>
              <w:rPr>
                <w:rFonts w:cs="Arial"/>
                <w:sz w:val="20"/>
                <w:szCs w:val="20"/>
              </w:rPr>
            </w:pPr>
            <w:r w:rsidRPr="00C94273">
              <w:rPr>
                <w:rFonts w:cs="Arial"/>
                <w:sz w:val="20"/>
                <w:szCs w:val="20"/>
              </w:rPr>
              <w:t xml:space="preserve">As noted in COP12 DOC.6, this report was prepared to deliver on tasks 20, 25, and 41 in 2013–2015 </w:t>
            </w:r>
            <w:proofErr w:type="gramStart"/>
            <w:r w:rsidRPr="00C94273">
              <w:rPr>
                <w:rFonts w:cs="Arial"/>
                <w:sz w:val="20"/>
                <w:szCs w:val="20"/>
              </w:rPr>
              <w:t>triennium</w:t>
            </w:r>
            <w:proofErr w:type="gramEnd"/>
            <w:r w:rsidRPr="00C94273">
              <w:rPr>
                <w:rFonts w:cs="Arial"/>
                <w:sz w:val="20"/>
                <w:szCs w:val="20"/>
              </w:rPr>
              <w:t>.</w:t>
            </w:r>
          </w:p>
        </w:tc>
      </w:tr>
      <w:tr w:rsidR="00F37463" w:rsidRPr="00C94273" w:rsidTr="00762B18">
        <w:trPr>
          <w:cantSplit/>
        </w:trPr>
        <w:tc>
          <w:tcPr>
            <w:tcW w:w="3119" w:type="dxa"/>
          </w:tcPr>
          <w:p w:rsidR="008E77D1" w:rsidRPr="00C94273" w:rsidRDefault="008E77D1" w:rsidP="001802FC">
            <w:pPr>
              <w:rPr>
                <w:sz w:val="20"/>
                <w:szCs w:val="20"/>
              </w:rPr>
            </w:pPr>
            <w:r w:rsidRPr="00C94273">
              <w:rPr>
                <w:sz w:val="20"/>
                <w:szCs w:val="20"/>
              </w:rPr>
              <w:t>Resolution IX. 4 The Ramsar Convention and conservation, production and sustainable use of fisheries resources.</w:t>
            </w:r>
          </w:p>
        </w:tc>
        <w:tc>
          <w:tcPr>
            <w:tcW w:w="1276" w:type="dxa"/>
          </w:tcPr>
          <w:p w:rsidR="008E77D1" w:rsidRPr="00C94273" w:rsidRDefault="008E77D1" w:rsidP="001802FC">
            <w:pPr>
              <w:rPr>
                <w:rFonts w:cs="Arial"/>
                <w:sz w:val="20"/>
                <w:szCs w:val="20"/>
              </w:rPr>
            </w:pPr>
            <w:r w:rsidRPr="00C94273">
              <w:rPr>
                <w:rFonts w:cs="Arial"/>
                <w:sz w:val="20"/>
                <w:szCs w:val="20"/>
              </w:rPr>
              <w:t>Technical</w:t>
            </w:r>
          </w:p>
        </w:tc>
        <w:tc>
          <w:tcPr>
            <w:tcW w:w="2126" w:type="dxa"/>
          </w:tcPr>
          <w:p w:rsidR="008E77D1" w:rsidRPr="00C94273" w:rsidRDefault="008E77D1" w:rsidP="001802FC">
            <w:pPr>
              <w:rPr>
                <w:rFonts w:cs="Arial"/>
                <w:sz w:val="20"/>
                <w:szCs w:val="20"/>
              </w:rPr>
            </w:pPr>
            <w:r w:rsidRPr="00C94273">
              <w:rPr>
                <w:rFonts w:cs="Arial"/>
                <w:sz w:val="20"/>
                <w:szCs w:val="20"/>
              </w:rPr>
              <w:t>Policymakers</w:t>
            </w:r>
            <w:r w:rsidR="001802FC" w:rsidRPr="00C94273">
              <w:rPr>
                <w:rFonts w:cs="Arial"/>
                <w:sz w:val="20"/>
                <w:szCs w:val="20"/>
              </w:rPr>
              <w:t xml:space="preserve"> </w:t>
            </w:r>
            <w:r w:rsidRPr="00C94273">
              <w:rPr>
                <w:rFonts w:cs="Arial"/>
                <w:sz w:val="20"/>
                <w:szCs w:val="20"/>
              </w:rPr>
              <w:t>/</w:t>
            </w:r>
            <w:r w:rsidR="001802FC" w:rsidRPr="00C94273">
              <w:rPr>
                <w:rFonts w:cs="Arial"/>
                <w:sz w:val="20"/>
                <w:szCs w:val="20"/>
              </w:rPr>
              <w:t xml:space="preserve"> </w:t>
            </w:r>
            <w:r w:rsidRPr="00C94273">
              <w:rPr>
                <w:rFonts w:cs="Arial"/>
                <w:sz w:val="20"/>
                <w:szCs w:val="20"/>
              </w:rPr>
              <w:t>practitioners</w:t>
            </w:r>
          </w:p>
        </w:tc>
        <w:tc>
          <w:tcPr>
            <w:tcW w:w="1418" w:type="dxa"/>
          </w:tcPr>
          <w:p w:rsidR="008E77D1" w:rsidRPr="00C94273" w:rsidRDefault="008E77D1" w:rsidP="001802FC">
            <w:pPr>
              <w:rPr>
                <w:rFonts w:cs="Arial"/>
                <w:sz w:val="20"/>
                <w:szCs w:val="20"/>
              </w:rPr>
            </w:pPr>
            <w:r w:rsidRPr="00C94273">
              <w:rPr>
                <w:rFonts w:cs="Arial"/>
                <w:sz w:val="20"/>
                <w:szCs w:val="20"/>
              </w:rPr>
              <w:t>18</w:t>
            </w:r>
          </w:p>
        </w:tc>
        <w:tc>
          <w:tcPr>
            <w:tcW w:w="1134" w:type="dxa"/>
          </w:tcPr>
          <w:p w:rsidR="008E77D1" w:rsidRPr="00C94273" w:rsidRDefault="008E77D1" w:rsidP="001802FC">
            <w:pPr>
              <w:rPr>
                <w:rFonts w:cs="Arial"/>
                <w:sz w:val="20"/>
                <w:szCs w:val="20"/>
              </w:rPr>
            </w:pPr>
            <w:r w:rsidRPr="00C94273">
              <w:rPr>
                <w:rFonts w:cs="Arial"/>
                <w:sz w:val="20"/>
                <w:szCs w:val="20"/>
              </w:rPr>
              <w:t>EFS</w:t>
            </w:r>
          </w:p>
        </w:tc>
        <w:tc>
          <w:tcPr>
            <w:tcW w:w="5103" w:type="dxa"/>
          </w:tcPr>
          <w:p w:rsidR="008E77D1" w:rsidRPr="00C94273" w:rsidRDefault="008E77D1" w:rsidP="001802FC">
            <w:pPr>
              <w:rPr>
                <w:rFonts w:cs="Arial"/>
                <w:sz w:val="20"/>
                <w:szCs w:val="20"/>
              </w:rPr>
            </w:pPr>
          </w:p>
        </w:tc>
      </w:tr>
      <w:tr w:rsidR="00833F2A" w:rsidRPr="00C94273" w:rsidTr="00F37463">
        <w:trPr>
          <w:cantSplit/>
        </w:trPr>
        <w:tc>
          <w:tcPr>
            <w:tcW w:w="14176" w:type="dxa"/>
            <w:gridSpan w:val="6"/>
            <w:shd w:val="clear" w:color="auto" w:fill="F2F2F2" w:themeFill="background1" w:themeFillShade="F2"/>
          </w:tcPr>
          <w:p w:rsidR="008E77D1" w:rsidRPr="00C94273" w:rsidRDefault="008E77D1" w:rsidP="001802FC">
            <w:pPr>
              <w:jc w:val="center"/>
              <w:rPr>
                <w:rFonts w:cs="Arial"/>
                <w:sz w:val="20"/>
                <w:szCs w:val="20"/>
              </w:rPr>
            </w:pPr>
            <w:r w:rsidRPr="00C94273">
              <w:rPr>
                <w:rFonts w:cs="Arial"/>
                <w:b/>
                <w:sz w:val="20"/>
                <w:szCs w:val="20"/>
              </w:rPr>
              <w:t>Other guidance</w:t>
            </w:r>
          </w:p>
        </w:tc>
      </w:tr>
      <w:tr w:rsidR="00833F2A" w:rsidRPr="00C94273" w:rsidTr="0043685F">
        <w:trPr>
          <w:cantSplit/>
        </w:trPr>
        <w:tc>
          <w:tcPr>
            <w:tcW w:w="14176" w:type="dxa"/>
            <w:gridSpan w:val="6"/>
            <w:shd w:val="clear" w:color="auto" w:fill="FDE9D9" w:themeFill="accent6" w:themeFillTint="33"/>
          </w:tcPr>
          <w:p w:rsidR="00947298" w:rsidRPr="00C94273" w:rsidRDefault="00947298" w:rsidP="001802FC">
            <w:pPr>
              <w:rPr>
                <w:sz w:val="20"/>
                <w:szCs w:val="20"/>
              </w:rPr>
            </w:pPr>
            <w:r w:rsidRPr="00C94273">
              <w:rPr>
                <w:b/>
                <w:sz w:val="20"/>
                <w:szCs w:val="20"/>
                <w:lang w:val="en-AU"/>
              </w:rPr>
              <w:t>2016-2019 update</w:t>
            </w:r>
          </w:p>
        </w:tc>
      </w:tr>
      <w:tr w:rsidR="00674FC2" w:rsidRPr="00C94273" w:rsidTr="00762B18">
        <w:trPr>
          <w:cantSplit/>
        </w:trPr>
        <w:tc>
          <w:tcPr>
            <w:tcW w:w="3119" w:type="dxa"/>
          </w:tcPr>
          <w:p w:rsidR="00674FC2" w:rsidRPr="00C94273" w:rsidRDefault="001E728F" w:rsidP="001802FC">
            <w:pPr>
              <w:rPr>
                <w:sz w:val="20"/>
                <w:szCs w:val="20"/>
              </w:rPr>
            </w:pPr>
            <w:hyperlink r:id="rId69" w:history="1">
              <w:r w:rsidR="00674FC2" w:rsidRPr="00C94273">
                <w:rPr>
                  <w:rStyle w:val="Hyperlink"/>
                  <w:sz w:val="20"/>
                  <w:szCs w:val="20"/>
                </w:rPr>
                <w:t xml:space="preserve">Ramsar Regional </w:t>
              </w:r>
              <w:proofErr w:type="spellStart"/>
              <w:r w:rsidR="00674FC2" w:rsidRPr="00C94273">
                <w:rPr>
                  <w:rStyle w:val="Hyperlink"/>
                  <w:sz w:val="20"/>
                  <w:szCs w:val="20"/>
                </w:rPr>
                <w:t>Center</w:t>
              </w:r>
              <w:proofErr w:type="spellEnd"/>
              <w:r w:rsidR="00674FC2" w:rsidRPr="00C94273">
                <w:rPr>
                  <w:rStyle w:val="Hyperlink"/>
                  <w:sz w:val="20"/>
                  <w:szCs w:val="20"/>
                </w:rPr>
                <w:t xml:space="preserve"> – East Asia</w:t>
              </w:r>
              <w:r w:rsidR="006758A7" w:rsidRPr="00C94273">
                <w:rPr>
                  <w:rStyle w:val="Hyperlink"/>
                  <w:sz w:val="20"/>
                  <w:szCs w:val="20"/>
                </w:rPr>
                <w:t xml:space="preserve"> (RRC-EA)</w:t>
              </w:r>
              <w:r w:rsidR="00674FC2" w:rsidRPr="00C94273">
                <w:rPr>
                  <w:rStyle w:val="Hyperlink"/>
                  <w:sz w:val="20"/>
                  <w:szCs w:val="20"/>
                </w:rPr>
                <w:t>. (2017). The Designation and Management of Ramsar Sites – A practitioner’s guide</w:t>
              </w:r>
            </w:hyperlink>
          </w:p>
        </w:tc>
        <w:tc>
          <w:tcPr>
            <w:tcW w:w="1276" w:type="dxa"/>
          </w:tcPr>
          <w:p w:rsidR="00674FC2" w:rsidRPr="00C94273" w:rsidRDefault="00674FC2" w:rsidP="001802FC">
            <w:pPr>
              <w:rPr>
                <w:rFonts w:cs="Arial"/>
                <w:sz w:val="20"/>
                <w:szCs w:val="20"/>
              </w:rPr>
            </w:pPr>
          </w:p>
        </w:tc>
        <w:tc>
          <w:tcPr>
            <w:tcW w:w="2126" w:type="dxa"/>
          </w:tcPr>
          <w:p w:rsidR="00674FC2" w:rsidRPr="00C94273" w:rsidRDefault="00674FC2" w:rsidP="001802FC">
            <w:pPr>
              <w:rPr>
                <w:rFonts w:cs="Arial"/>
                <w:sz w:val="20"/>
                <w:szCs w:val="20"/>
              </w:rPr>
            </w:pPr>
          </w:p>
        </w:tc>
        <w:tc>
          <w:tcPr>
            <w:tcW w:w="1418" w:type="dxa"/>
          </w:tcPr>
          <w:p w:rsidR="00674FC2" w:rsidRPr="00C94273" w:rsidRDefault="00674FC2" w:rsidP="001802FC">
            <w:pPr>
              <w:rPr>
                <w:rFonts w:cs="Arial"/>
                <w:sz w:val="20"/>
                <w:szCs w:val="20"/>
              </w:rPr>
            </w:pPr>
          </w:p>
        </w:tc>
        <w:tc>
          <w:tcPr>
            <w:tcW w:w="1134" w:type="dxa"/>
          </w:tcPr>
          <w:p w:rsidR="00674FC2" w:rsidRPr="00C94273" w:rsidRDefault="006758A7" w:rsidP="001802FC">
            <w:pPr>
              <w:rPr>
                <w:sz w:val="20"/>
                <w:szCs w:val="20"/>
              </w:rPr>
            </w:pPr>
            <w:r w:rsidRPr="00C94273">
              <w:rPr>
                <w:sz w:val="20"/>
                <w:szCs w:val="20"/>
              </w:rPr>
              <w:t>E</w:t>
            </w:r>
            <w:r w:rsidR="00D057A7" w:rsidRPr="00C94273">
              <w:rPr>
                <w:sz w:val="20"/>
                <w:szCs w:val="20"/>
              </w:rPr>
              <w:t xml:space="preserve">CK, </w:t>
            </w:r>
            <w:r w:rsidR="00B137B3" w:rsidRPr="00C94273">
              <w:rPr>
                <w:sz w:val="20"/>
                <w:szCs w:val="20"/>
              </w:rPr>
              <w:t>KM, ID, LO, MY, NE</w:t>
            </w:r>
          </w:p>
        </w:tc>
        <w:tc>
          <w:tcPr>
            <w:tcW w:w="5103" w:type="dxa"/>
          </w:tcPr>
          <w:p w:rsidR="006758A7" w:rsidRPr="00C94273" w:rsidRDefault="006758A7" w:rsidP="006758A7">
            <w:pPr>
              <w:rPr>
                <w:sz w:val="20"/>
                <w:szCs w:val="20"/>
              </w:rPr>
            </w:pPr>
            <w:r w:rsidRPr="00C94273">
              <w:rPr>
                <w:sz w:val="20"/>
                <w:szCs w:val="20"/>
              </w:rPr>
              <w:t>RRC-EA:</w:t>
            </w:r>
          </w:p>
          <w:p w:rsidR="006758A7" w:rsidRPr="00C94273" w:rsidRDefault="006758A7" w:rsidP="006758A7">
            <w:pPr>
              <w:rPr>
                <w:sz w:val="20"/>
                <w:szCs w:val="20"/>
              </w:rPr>
            </w:pPr>
            <w:r w:rsidRPr="00C94273">
              <w:rPr>
                <w:sz w:val="20"/>
                <w:szCs w:val="20"/>
              </w:rPr>
              <w:t>Summary: “This guide is aimed primarily at those involved in the management of Ramsar Sites, to help</w:t>
            </w:r>
          </w:p>
          <w:p w:rsidR="006758A7" w:rsidRPr="00C94273" w:rsidRDefault="006758A7" w:rsidP="006758A7">
            <w:pPr>
              <w:rPr>
                <w:sz w:val="20"/>
                <w:szCs w:val="20"/>
              </w:rPr>
            </w:pPr>
            <w:r w:rsidRPr="00C94273">
              <w:rPr>
                <w:sz w:val="20"/>
                <w:szCs w:val="20"/>
              </w:rPr>
              <w:t>promote better understanding of the processes involved based on guidance provided by the</w:t>
            </w:r>
          </w:p>
          <w:p w:rsidR="006758A7" w:rsidRPr="00C94273" w:rsidRDefault="006758A7" w:rsidP="006758A7">
            <w:pPr>
              <w:rPr>
                <w:sz w:val="20"/>
                <w:szCs w:val="20"/>
              </w:rPr>
            </w:pPr>
            <w:r w:rsidRPr="00C94273">
              <w:rPr>
                <w:sz w:val="20"/>
                <w:szCs w:val="20"/>
              </w:rPr>
              <w:t>Ramsar Convention and good practices identified by the Convention’s experts and partners.</w:t>
            </w:r>
          </w:p>
          <w:p w:rsidR="00674FC2" w:rsidRPr="00C94273" w:rsidRDefault="006758A7" w:rsidP="006758A7">
            <w:pPr>
              <w:rPr>
                <w:sz w:val="20"/>
                <w:szCs w:val="20"/>
              </w:rPr>
            </w:pPr>
            <w:r w:rsidRPr="00C94273">
              <w:rPr>
                <w:sz w:val="20"/>
                <w:szCs w:val="20"/>
              </w:rPr>
              <w:t>The guide also includes simplified information on the proce</w:t>
            </w:r>
            <w:r w:rsidR="00F37FBF" w:rsidRPr="00C94273">
              <w:rPr>
                <w:sz w:val="20"/>
                <w:szCs w:val="20"/>
              </w:rPr>
              <w:t xml:space="preserve">ss to designate Ramsar Sites in </w:t>
            </w:r>
            <w:r w:rsidRPr="00C94273">
              <w:rPr>
                <w:sz w:val="20"/>
                <w:szCs w:val="20"/>
              </w:rPr>
              <w:t>order to highlight the various linkages between the designation and management stages”.</w:t>
            </w:r>
          </w:p>
        </w:tc>
      </w:tr>
      <w:tr w:rsidR="00F37463" w:rsidRPr="00C94273" w:rsidTr="00762B18">
        <w:trPr>
          <w:cantSplit/>
        </w:trPr>
        <w:tc>
          <w:tcPr>
            <w:tcW w:w="3119" w:type="dxa"/>
          </w:tcPr>
          <w:p w:rsidR="0020282F" w:rsidRPr="00C94273" w:rsidRDefault="001E728F" w:rsidP="001802FC">
            <w:pPr>
              <w:rPr>
                <w:sz w:val="20"/>
                <w:szCs w:val="20"/>
              </w:rPr>
            </w:pPr>
            <w:hyperlink r:id="rId70" w:history="1">
              <w:r w:rsidR="0020282F" w:rsidRPr="00C94273">
                <w:rPr>
                  <w:rStyle w:val="Hyperlink"/>
                  <w:sz w:val="20"/>
                  <w:szCs w:val="20"/>
                </w:rPr>
                <w:t>Rapid Cultural Inventories for Wetlands</w:t>
              </w:r>
            </w:hyperlink>
            <w:r w:rsidR="0020282F" w:rsidRPr="00C94273">
              <w:rPr>
                <w:sz w:val="20"/>
                <w:szCs w:val="20"/>
              </w:rPr>
              <w:t xml:space="preserve"> (guidance)</w:t>
            </w:r>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EFS</w:t>
            </w:r>
          </w:p>
        </w:tc>
        <w:tc>
          <w:tcPr>
            <w:tcW w:w="5103" w:type="dxa"/>
          </w:tcPr>
          <w:p w:rsidR="0020282F" w:rsidRPr="00C94273" w:rsidRDefault="0020282F" w:rsidP="001802FC">
            <w:pPr>
              <w:rPr>
                <w:sz w:val="20"/>
                <w:szCs w:val="20"/>
              </w:rPr>
            </w:pPr>
            <w:r w:rsidRPr="00C94273">
              <w:rPr>
                <w:sz w:val="20"/>
                <w:szCs w:val="20"/>
              </w:rPr>
              <w:t>Ramsar Culture Network (report):</w:t>
            </w:r>
          </w:p>
          <w:p w:rsidR="0020282F" w:rsidRPr="00C94273" w:rsidRDefault="0020282F" w:rsidP="001802FC">
            <w:pPr>
              <w:rPr>
                <w:sz w:val="20"/>
                <w:szCs w:val="20"/>
              </w:rPr>
            </w:pPr>
            <w:r w:rsidRPr="00C94273">
              <w:rPr>
                <w:sz w:val="20"/>
                <w:szCs w:val="20"/>
              </w:rPr>
              <w:t xml:space="preserve">Summary: </w:t>
            </w:r>
            <w:r w:rsidR="00B35441" w:rsidRPr="00C94273">
              <w:rPr>
                <w:sz w:val="20"/>
                <w:szCs w:val="20"/>
              </w:rPr>
              <w:t>“</w:t>
            </w:r>
            <w:r w:rsidRPr="00C94273">
              <w:rPr>
                <w:sz w:val="20"/>
                <w:szCs w:val="20"/>
              </w:rPr>
              <w:t>Rapid Cultural Inventories for Wetlands are a simple and practical way to identify, document and make available information about notable cultural values and practices associated with identified wetland areas. They can be undertaken at a variety of scales. The information they provide supports both the conservation of cultural heritage and the Ramsar Convention’s aim of integrating cultural aspects in the management of Ramsar Sites and other wetlands.</w:t>
            </w:r>
            <w:r w:rsidR="00B35441" w:rsidRPr="00C94273">
              <w:rPr>
                <w:sz w:val="20"/>
                <w:szCs w:val="20"/>
              </w:rPr>
              <w:t>”</w:t>
            </w:r>
          </w:p>
        </w:tc>
      </w:tr>
      <w:tr w:rsidR="00F37463" w:rsidRPr="00C94273" w:rsidTr="00762B18">
        <w:trPr>
          <w:cantSplit/>
        </w:trPr>
        <w:tc>
          <w:tcPr>
            <w:tcW w:w="3119" w:type="dxa"/>
          </w:tcPr>
          <w:p w:rsidR="000E2B64" w:rsidRPr="00C94273" w:rsidRDefault="001E728F" w:rsidP="001802FC">
            <w:pPr>
              <w:rPr>
                <w:sz w:val="20"/>
                <w:szCs w:val="20"/>
              </w:rPr>
            </w:pPr>
            <w:hyperlink r:id="rId71" w:history="1">
              <w:r w:rsidR="000E2B64" w:rsidRPr="00C94273">
                <w:rPr>
                  <w:rStyle w:val="Hyperlink"/>
                  <w:sz w:val="20"/>
                  <w:szCs w:val="20"/>
                </w:rPr>
                <w:t>Ramsar and World Heritage Conventions: converging towards success</w:t>
              </w:r>
            </w:hyperlink>
            <w:r w:rsidR="000E2B64" w:rsidRPr="00C94273">
              <w:rPr>
                <w:sz w:val="20"/>
                <w:szCs w:val="20"/>
              </w:rPr>
              <w:t>. How cultural values and community participation contribute to positive conservation outcomes for internationally designated wetlands</w:t>
            </w:r>
          </w:p>
        </w:tc>
        <w:tc>
          <w:tcPr>
            <w:tcW w:w="1276" w:type="dxa"/>
          </w:tcPr>
          <w:p w:rsidR="000E2B64" w:rsidRPr="00C94273" w:rsidRDefault="000E2B64" w:rsidP="001802FC">
            <w:pPr>
              <w:rPr>
                <w:rFonts w:cs="Arial"/>
                <w:sz w:val="20"/>
                <w:szCs w:val="20"/>
              </w:rPr>
            </w:pPr>
          </w:p>
        </w:tc>
        <w:tc>
          <w:tcPr>
            <w:tcW w:w="2126" w:type="dxa"/>
          </w:tcPr>
          <w:p w:rsidR="000E2B64" w:rsidRPr="00C94273" w:rsidRDefault="000E2B64" w:rsidP="001802FC">
            <w:pPr>
              <w:rPr>
                <w:rFonts w:cs="Arial"/>
                <w:sz w:val="20"/>
                <w:szCs w:val="20"/>
              </w:rPr>
            </w:pPr>
          </w:p>
        </w:tc>
        <w:tc>
          <w:tcPr>
            <w:tcW w:w="1418" w:type="dxa"/>
          </w:tcPr>
          <w:p w:rsidR="000E2B64" w:rsidRPr="00C94273" w:rsidRDefault="000E2B64" w:rsidP="001802FC">
            <w:pPr>
              <w:rPr>
                <w:rFonts w:cs="Arial"/>
                <w:sz w:val="20"/>
                <w:szCs w:val="20"/>
              </w:rPr>
            </w:pPr>
          </w:p>
        </w:tc>
        <w:tc>
          <w:tcPr>
            <w:tcW w:w="1134" w:type="dxa"/>
          </w:tcPr>
          <w:p w:rsidR="000E2B64" w:rsidRPr="00C94273" w:rsidRDefault="000E2B64" w:rsidP="001802FC">
            <w:pPr>
              <w:rPr>
                <w:rFonts w:cs="Arial"/>
                <w:sz w:val="20"/>
                <w:szCs w:val="20"/>
              </w:rPr>
            </w:pPr>
            <w:r w:rsidRPr="00C94273">
              <w:rPr>
                <w:rFonts w:cs="Arial"/>
                <w:sz w:val="20"/>
                <w:szCs w:val="20"/>
              </w:rPr>
              <w:t>EFS</w:t>
            </w:r>
          </w:p>
        </w:tc>
        <w:tc>
          <w:tcPr>
            <w:tcW w:w="5103" w:type="dxa"/>
          </w:tcPr>
          <w:p w:rsidR="000E2B64" w:rsidRPr="00C94273" w:rsidRDefault="00C71039" w:rsidP="001802FC">
            <w:pPr>
              <w:rPr>
                <w:rFonts w:cs="Arial"/>
                <w:sz w:val="20"/>
                <w:szCs w:val="20"/>
              </w:rPr>
            </w:pPr>
            <w:r w:rsidRPr="00C94273">
              <w:rPr>
                <w:rFonts w:cs="Arial"/>
                <w:sz w:val="20"/>
                <w:szCs w:val="20"/>
              </w:rPr>
              <w:t xml:space="preserve">Report for the </w:t>
            </w:r>
            <w:r w:rsidR="005F0B97" w:rsidRPr="00C94273">
              <w:rPr>
                <w:rFonts w:cs="Arial"/>
                <w:sz w:val="20"/>
                <w:szCs w:val="20"/>
              </w:rPr>
              <w:t>Ramsar Convention Secretariat</w:t>
            </w:r>
          </w:p>
          <w:p w:rsidR="00C71039" w:rsidRPr="00C94273" w:rsidRDefault="00D023F2" w:rsidP="001802FC">
            <w:pPr>
              <w:rPr>
                <w:rFonts w:cs="Arial"/>
                <w:sz w:val="20"/>
                <w:szCs w:val="20"/>
              </w:rPr>
            </w:pPr>
            <w:r w:rsidRPr="00C94273">
              <w:rPr>
                <w:rFonts w:cs="Arial"/>
                <w:sz w:val="20"/>
                <w:szCs w:val="20"/>
                <w:u w:val="single"/>
              </w:rPr>
              <w:t>Summary</w:t>
            </w:r>
            <w:r w:rsidRPr="00C94273">
              <w:rPr>
                <w:rFonts w:cs="Arial"/>
                <w:sz w:val="20"/>
                <w:szCs w:val="20"/>
              </w:rPr>
              <w:t xml:space="preserve">: </w:t>
            </w:r>
            <w:r w:rsidR="00C71039" w:rsidRPr="00C94273">
              <w:rPr>
                <w:rFonts w:cs="Arial"/>
                <w:sz w:val="20"/>
                <w:szCs w:val="20"/>
              </w:rPr>
              <w:t xml:space="preserve">This report builds on ongoing efforts to draw lessons and to provide guidance for sites with multiple international designations. Following the study of </w:t>
            </w:r>
            <w:proofErr w:type="spellStart"/>
            <w:r w:rsidR="00C71039" w:rsidRPr="00C94273">
              <w:rPr>
                <w:rFonts w:cs="Arial"/>
                <w:sz w:val="20"/>
                <w:szCs w:val="20"/>
              </w:rPr>
              <w:t>Shaaf</w:t>
            </w:r>
            <w:proofErr w:type="spellEnd"/>
            <w:r w:rsidR="00C71039" w:rsidRPr="00C94273">
              <w:rPr>
                <w:rFonts w:cs="Arial"/>
                <w:sz w:val="20"/>
                <w:szCs w:val="20"/>
              </w:rPr>
              <w:t xml:space="preserve"> and </w:t>
            </w:r>
            <w:proofErr w:type="spellStart"/>
            <w:r w:rsidR="00C71039" w:rsidRPr="00C94273">
              <w:rPr>
                <w:rFonts w:cs="Arial"/>
                <w:sz w:val="20"/>
                <w:szCs w:val="20"/>
              </w:rPr>
              <w:t>Clamote</w:t>
            </w:r>
            <w:proofErr w:type="spellEnd"/>
            <w:r w:rsidR="00C71039" w:rsidRPr="00C94273">
              <w:rPr>
                <w:rFonts w:cs="Arial"/>
                <w:sz w:val="20"/>
                <w:szCs w:val="20"/>
              </w:rPr>
              <w:t xml:space="preserve"> Rodrigues (2016), it specifically focuses on relationships between culture and wetlands of international importance.</w:t>
            </w:r>
          </w:p>
        </w:tc>
      </w:tr>
      <w:tr w:rsidR="00F37463" w:rsidRPr="00C94273" w:rsidTr="00762B18">
        <w:trPr>
          <w:cantSplit/>
        </w:trPr>
        <w:tc>
          <w:tcPr>
            <w:tcW w:w="3119" w:type="dxa"/>
          </w:tcPr>
          <w:p w:rsidR="0020282F" w:rsidRPr="00C94273" w:rsidRDefault="001E728F" w:rsidP="001802FC">
            <w:pPr>
              <w:rPr>
                <w:sz w:val="20"/>
                <w:szCs w:val="20"/>
              </w:rPr>
            </w:pPr>
            <w:hyperlink r:id="rId72" w:history="1">
              <w:r w:rsidR="0020282F" w:rsidRPr="00C94273">
                <w:rPr>
                  <w:rStyle w:val="Hyperlink"/>
                  <w:sz w:val="20"/>
                  <w:szCs w:val="20"/>
                </w:rPr>
                <w:t>The relationship of indigenous peoples and local communities with wetlands</w:t>
              </w:r>
            </w:hyperlink>
            <w:r w:rsidR="0020282F" w:rsidRPr="00C94273">
              <w:rPr>
                <w:sz w:val="20"/>
                <w:szCs w:val="20"/>
              </w:rPr>
              <w:t>: An initial report</w:t>
            </w:r>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rFonts w:cs="Arial"/>
                <w:sz w:val="20"/>
                <w:szCs w:val="20"/>
              </w:rPr>
              <w:t>E</w:t>
            </w:r>
          </w:p>
        </w:tc>
        <w:tc>
          <w:tcPr>
            <w:tcW w:w="5103" w:type="dxa"/>
          </w:tcPr>
          <w:p w:rsidR="0020282F" w:rsidRPr="00C94273" w:rsidRDefault="0020282F" w:rsidP="001802FC">
            <w:pPr>
              <w:rPr>
                <w:rFonts w:cs="Arial"/>
                <w:sz w:val="20"/>
                <w:szCs w:val="20"/>
              </w:rPr>
            </w:pPr>
            <w:r w:rsidRPr="00C94273">
              <w:rPr>
                <w:rFonts w:cs="Arial"/>
                <w:sz w:val="20"/>
                <w:szCs w:val="20"/>
              </w:rPr>
              <w:t>Consultancy report published by the Ramsar Secretariat</w:t>
            </w:r>
          </w:p>
          <w:p w:rsidR="0020282F" w:rsidRPr="00C94273" w:rsidRDefault="0020282F" w:rsidP="001802FC">
            <w:pPr>
              <w:rPr>
                <w:rFonts w:cs="Arial"/>
                <w:sz w:val="20"/>
                <w:szCs w:val="20"/>
              </w:rPr>
            </w:pPr>
            <w:r w:rsidRPr="00C94273">
              <w:rPr>
                <w:rFonts w:cs="Arial"/>
                <w:sz w:val="20"/>
                <w:szCs w:val="20"/>
                <w:u w:val="single"/>
              </w:rPr>
              <w:t>Summary</w:t>
            </w:r>
            <w:r w:rsidR="00D023F2" w:rsidRPr="00C94273">
              <w:rPr>
                <w:rFonts w:cs="Arial"/>
                <w:sz w:val="20"/>
                <w:szCs w:val="20"/>
              </w:rPr>
              <w:t xml:space="preserve">: </w:t>
            </w:r>
            <w:r w:rsidRPr="00C94273">
              <w:rPr>
                <w:rFonts w:cs="Arial"/>
                <w:sz w:val="20"/>
                <w:szCs w:val="20"/>
              </w:rPr>
              <w:t>The report contains:</w:t>
            </w:r>
            <w:r w:rsidR="00B35441" w:rsidRPr="00C94273">
              <w:rPr>
                <w:rFonts w:cs="Arial"/>
                <w:sz w:val="20"/>
                <w:szCs w:val="20"/>
              </w:rPr>
              <w:t xml:space="preserve"> A</w:t>
            </w:r>
            <w:r w:rsidRPr="00C94273">
              <w:rPr>
                <w:rFonts w:cs="Arial"/>
                <w:sz w:val="20"/>
                <w:szCs w:val="20"/>
              </w:rPr>
              <w:t xml:space="preserve"> </w:t>
            </w:r>
            <w:r w:rsidR="00B35441" w:rsidRPr="00C94273">
              <w:rPr>
                <w:rFonts w:cs="Arial"/>
                <w:sz w:val="20"/>
                <w:szCs w:val="20"/>
              </w:rPr>
              <w:t>r</w:t>
            </w:r>
            <w:r w:rsidRPr="00C94273">
              <w:rPr>
                <w:rFonts w:cs="Arial"/>
                <w:sz w:val="20"/>
                <w:szCs w:val="20"/>
              </w:rPr>
              <w:t>eview of</w:t>
            </w:r>
            <w:r w:rsidR="00B35441" w:rsidRPr="00C94273">
              <w:rPr>
                <w:rFonts w:cs="Arial"/>
                <w:sz w:val="20"/>
                <w:szCs w:val="20"/>
              </w:rPr>
              <w:t xml:space="preserve"> the Ramsar Convention’s policy </w:t>
            </w:r>
            <w:r w:rsidRPr="00C94273">
              <w:rPr>
                <w:rFonts w:cs="Arial"/>
                <w:sz w:val="20"/>
                <w:szCs w:val="20"/>
              </w:rPr>
              <w:t xml:space="preserve">Framework with respect to indigenous peoples and local communities and wetland conservation; an analysis of lessons learned from national experiences; thoughts on the way forward, including on new developments in the field; </w:t>
            </w:r>
          </w:p>
        </w:tc>
      </w:tr>
      <w:tr w:rsidR="00F37463" w:rsidRPr="00C94273" w:rsidTr="00762B18">
        <w:trPr>
          <w:cantSplit/>
        </w:trPr>
        <w:tc>
          <w:tcPr>
            <w:tcW w:w="3119" w:type="dxa"/>
          </w:tcPr>
          <w:p w:rsidR="00D023F2" w:rsidRPr="00C94273" w:rsidRDefault="001E728F" w:rsidP="001802FC">
            <w:pPr>
              <w:rPr>
                <w:sz w:val="20"/>
                <w:szCs w:val="20"/>
              </w:rPr>
            </w:pPr>
            <w:hyperlink r:id="rId73" w:history="1">
              <w:r w:rsidR="00D023F2" w:rsidRPr="00C94273">
                <w:rPr>
                  <w:rStyle w:val="Hyperlink"/>
                  <w:sz w:val="20"/>
                  <w:szCs w:val="20"/>
                </w:rPr>
                <w:t>Managing MIDAS : harmonising the management of Multi-Internationally Designated Areas</w:t>
              </w:r>
            </w:hyperlink>
          </w:p>
        </w:tc>
        <w:tc>
          <w:tcPr>
            <w:tcW w:w="1276" w:type="dxa"/>
          </w:tcPr>
          <w:p w:rsidR="00D023F2" w:rsidRPr="00C94273" w:rsidRDefault="00D023F2" w:rsidP="001802FC">
            <w:pPr>
              <w:rPr>
                <w:rFonts w:cs="Arial"/>
                <w:sz w:val="20"/>
                <w:szCs w:val="20"/>
              </w:rPr>
            </w:pPr>
          </w:p>
        </w:tc>
        <w:tc>
          <w:tcPr>
            <w:tcW w:w="2126" w:type="dxa"/>
          </w:tcPr>
          <w:p w:rsidR="00D023F2" w:rsidRPr="00C94273" w:rsidRDefault="00D023F2" w:rsidP="001802FC">
            <w:pPr>
              <w:rPr>
                <w:rFonts w:cs="Arial"/>
                <w:sz w:val="20"/>
                <w:szCs w:val="20"/>
              </w:rPr>
            </w:pPr>
          </w:p>
        </w:tc>
        <w:tc>
          <w:tcPr>
            <w:tcW w:w="1418" w:type="dxa"/>
          </w:tcPr>
          <w:p w:rsidR="00D023F2" w:rsidRPr="00C94273" w:rsidRDefault="00D023F2" w:rsidP="001802FC">
            <w:pPr>
              <w:rPr>
                <w:rFonts w:cs="Arial"/>
                <w:sz w:val="20"/>
                <w:szCs w:val="20"/>
              </w:rPr>
            </w:pPr>
          </w:p>
        </w:tc>
        <w:tc>
          <w:tcPr>
            <w:tcW w:w="1134" w:type="dxa"/>
          </w:tcPr>
          <w:p w:rsidR="00D023F2" w:rsidRPr="00C94273" w:rsidRDefault="00D023F2" w:rsidP="001802FC">
            <w:pPr>
              <w:rPr>
                <w:rFonts w:cs="Arial"/>
                <w:sz w:val="20"/>
                <w:szCs w:val="20"/>
              </w:rPr>
            </w:pPr>
            <w:r w:rsidRPr="00C94273">
              <w:rPr>
                <w:rFonts w:cs="Arial"/>
                <w:sz w:val="20"/>
                <w:szCs w:val="20"/>
              </w:rPr>
              <w:t>EFSK</w:t>
            </w:r>
          </w:p>
        </w:tc>
        <w:tc>
          <w:tcPr>
            <w:tcW w:w="5103" w:type="dxa"/>
          </w:tcPr>
          <w:p w:rsidR="00D023F2" w:rsidRPr="00C94273" w:rsidRDefault="00D023F2" w:rsidP="001802FC">
            <w:pPr>
              <w:rPr>
                <w:rFonts w:cs="Arial"/>
                <w:sz w:val="20"/>
                <w:szCs w:val="20"/>
              </w:rPr>
            </w:pPr>
            <w:r w:rsidRPr="00C94273">
              <w:rPr>
                <w:rFonts w:cs="Arial"/>
                <w:sz w:val="20"/>
                <w:szCs w:val="20"/>
              </w:rPr>
              <w:t>IUCN:</w:t>
            </w:r>
          </w:p>
          <w:p w:rsidR="00D023F2" w:rsidRPr="00C94273" w:rsidRDefault="00D023F2" w:rsidP="001802FC">
            <w:pPr>
              <w:rPr>
                <w:rFonts w:cs="Arial"/>
                <w:sz w:val="20"/>
                <w:szCs w:val="20"/>
              </w:rPr>
            </w:pPr>
            <w:r w:rsidRPr="00C94273">
              <w:rPr>
                <w:rFonts w:cs="Arial"/>
                <w:sz w:val="20"/>
                <w:szCs w:val="20"/>
              </w:rPr>
              <w:t>Summary: “An Internationally Designated Area (IDA) is a natural area internationally recognised by a global or regional designation mechanism. Among these, there are 263 areas where different IDAs fully or partially overlap thus carrying double, triple or even quadruple international designations. These areas are named Multi-Internationally Designated Areas (MIDAs) for the purpose of this publication. Following up on Resolution WCC-2012-Res-052 adopted at the IUCN World Conservation Congress (</w:t>
            </w:r>
            <w:proofErr w:type="spellStart"/>
            <w:r w:rsidRPr="00C94273">
              <w:rPr>
                <w:rFonts w:cs="Arial"/>
                <w:sz w:val="20"/>
                <w:szCs w:val="20"/>
              </w:rPr>
              <w:t>Jeju</w:t>
            </w:r>
            <w:proofErr w:type="spellEnd"/>
            <w:r w:rsidRPr="00C94273">
              <w:rPr>
                <w:rFonts w:cs="Arial"/>
                <w:sz w:val="20"/>
                <w:szCs w:val="20"/>
              </w:rPr>
              <w:t xml:space="preserve"> Island, Republic of Korea, September 2012), this Guidance addresses specific issues related to the management of MIDAs, and includes recommendations for harmonising the management, systematic conservation and sustainable use of these areas aimed at the local, national and international stakeholders of MIDAs”.</w:t>
            </w:r>
          </w:p>
        </w:tc>
      </w:tr>
      <w:tr w:rsidR="00F37463" w:rsidRPr="00C94273" w:rsidTr="00762B18">
        <w:trPr>
          <w:cantSplit/>
        </w:trPr>
        <w:tc>
          <w:tcPr>
            <w:tcW w:w="3119" w:type="dxa"/>
          </w:tcPr>
          <w:p w:rsidR="00A81752" w:rsidRPr="00C94273" w:rsidRDefault="001E728F" w:rsidP="001802FC">
            <w:pPr>
              <w:rPr>
                <w:sz w:val="20"/>
                <w:szCs w:val="20"/>
              </w:rPr>
            </w:pPr>
            <w:hyperlink r:id="rId74" w:history="1">
              <w:r w:rsidR="0016476F" w:rsidRPr="00C94273">
                <w:rPr>
                  <w:rStyle w:val="Hyperlink"/>
                  <w:sz w:val="20"/>
                  <w:szCs w:val="20"/>
                </w:rPr>
                <w:t>Guidelines for species conservation planning (version 1.0)</w:t>
              </w:r>
            </w:hyperlink>
          </w:p>
        </w:tc>
        <w:tc>
          <w:tcPr>
            <w:tcW w:w="1276" w:type="dxa"/>
          </w:tcPr>
          <w:p w:rsidR="00A81752" w:rsidRPr="00C94273" w:rsidRDefault="00A81752" w:rsidP="001802FC">
            <w:pPr>
              <w:rPr>
                <w:rFonts w:cs="Arial"/>
                <w:sz w:val="20"/>
                <w:szCs w:val="20"/>
              </w:rPr>
            </w:pPr>
          </w:p>
        </w:tc>
        <w:tc>
          <w:tcPr>
            <w:tcW w:w="2126" w:type="dxa"/>
          </w:tcPr>
          <w:p w:rsidR="00A81752" w:rsidRPr="00C94273" w:rsidRDefault="00A81752" w:rsidP="001802FC">
            <w:pPr>
              <w:rPr>
                <w:rFonts w:cs="Arial"/>
                <w:sz w:val="20"/>
                <w:szCs w:val="20"/>
              </w:rPr>
            </w:pPr>
          </w:p>
        </w:tc>
        <w:tc>
          <w:tcPr>
            <w:tcW w:w="1418" w:type="dxa"/>
          </w:tcPr>
          <w:p w:rsidR="00A81752" w:rsidRPr="00C94273" w:rsidRDefault="00A81752" w:rsidP="001802FC">
            <w:pPr>
              <w:rPr>
                <w:rFonts w:cs="Arial"/>
                <w:sz w:val="20"/>
                <w:szCs w:val="20"/>
              </w:rPr>
            </w:pPr>
          </w:p>
        </w:tc>
        <w:tc>
          <w:tcPr>
            <w:tcW w:w="1134" w:type="dxa"/>
          </w:tcPr>
          <w:p w:rsidR="00A81752" w:rsidRPr="00C94273" w:rsidRDefault="0016476F" w:rsidP="001802FC">
            <w:pPr>
              <w:rPr>
                <w:rFonts w:cs="Arial"/>
                <w:sz w:val="20"/>
                <w:szCs w:val="20"/>
              </w:rPr>
            </w:pPr>
            <w:r w:rsidRPr="00C94273">
              <w:rPr>
                <w:rFonts w:cs="Arial"/>
                <w:sz w:val="20"/>
                <w:szCs w:val="20"/>
              </w:rPr>
              <w:t>E</w:t>
            </w:r>
          </w:p>
        </w:tc>
        <w:tc>
          <w:tcPr>
            <w:tcW w:w="5103" w:type="dxa"/>
          </w:tcPr>
          <w:p w:rsidR="0016476F" w:rsidRPr="00C94273" w:rsidRDefault="0016476F" w:rsidP="001802FC">
            <w:pPr>
              <w:rPr>
                <w:rFonts w:cs="Arial"/>
                <w:sz w:val="20"/>
                <w:szCs w:val="20"/>
              </w:rPr>
            </w:pPr>
            <w:r w:rsidRPr="00C94273">
              <w:rPr>
                <w:rFonts w:cs="Arial"/>
                <w:sz w:val="20"/>
                <w:szCs w:val="20"/>
              </w:rPr>
              <w:t>IUCN:</w:t>
            </w:r>
          </w:p>
          <w:p w:rsidR="00A81752" w:rsidRPr="00C94273" w:rsidRDefault="0016476F" w:rsidP="001802FC">
            <w:pPr>
              <w:rPr>
                <w:rFonts w:cs="Arial"/>
                <w:sz w:val="20"/>
                <w:szCs w:val="20"/>
              </w:rPr>
            </w:pPr>
            <w:r w:rsidRPr="00C94273">
              <w:rPr>
                <w:rFonts w:cs="Arial"/>
                <w:sz w:val="20"/>
                <w:szCs w:val="20"/>
              </w:rPr>
              <w:t xml:space="preserve">Summary: </w:t>
            </w:r>
            <w:r w:rsidR="00A1328C" w:rsidRPr="00C94273">
              <w:rPr>
                <w:rFonts w:cs="Arial"/>
                <w:sz w:val="20"/>
                <w:szCs w:val="20"/>
              </w:rPr>
              <w:t>“</w:t>
            </w:r>
            <w:r w:rsidR="004D53C2" w:rsidRPr="00C94273">
              <w:rPr>
                <w:rFonts w:cs="Arial"/>
                <w:sz w:val="20"/>
                <w:szCs w:val="20"/>
              </w:rPr>
              <w:t>The Guidelines aim to be equally relevant for any taxon on Earth. Recent experience has shown that no two planning situations are the same. So while the principles of planning may be constant, the purpose of the planning and the circumstances, the information available and its accuracy, and other factors, all combine to make every situation unique. This then demands a planning process that is both rigorous in analysis but flexible in its application. These Guidelines are very much an evolution based on experience, rather than a fundamental replacement of the 2008 Handbook”.</w:t>
            </w:r>
          </w:p>
        </w:tc>
      </w:tr>
      <w:tr w:rsidR="00F37463" w:rsidRPr="00C94273" w:rsidTr="00762B18">
        <w:trPr>
          <w:cantSplit/>
        </w:trPr>
        <w:tc>
          <w:tcPr>
            <w:tcW w:w="3119" w:type="dxa"/>
          </w:tcPr>
          <w:p w:rsidR="00F35244" w:rsidRPr="00C94273" w:rsidRDefault="001E728F" w:rsidP="001802FC">
            <w:pPr>
              <w:rPr>
                <w:sz w:val="20"/>
                <w:szCs w:val="20"/>
              </w:rPr>
            </w:pPr>
            <w:hyperlink r:id="rId75" w:history="1">
              <w:r w:rsidR="00385CCE" w:rsidRPr="00C94273">
                <w:rPr>
                  <w:rStyle w:val="Hyperlink"/>
                  <w:sz w:val="20"/>
                  <w:szCs w:val="20"/>
                </w:rPr>
                <w:t>World Heritage, Wilderness and Large Landscapes and Seascapes</w:t>
              </w:r>
            </w:hyperlink>
          </w:p>
        </w:tc>
        <w:tc>
          <w:tcPr>
            <w:tcW w:w="1276" w:type="dxa"/>
          </w:tcPr>
          <w:p w:rsidR="00F35244" w:rsidRPr="00C94273" w:rsidRDefault="00F35244" w:rsidP="001802FC">
            <w:pPr>
              <w:rPr>
                <w:rFonts w:cs="Arial"/>
                <w:sz w:val="20"/>
                <w:szCs w:val="20"/>
              </w:rPr>
            </w:pPr>
          </w:p>
        </w:tc>
        <w:tc>
          <w:tcPr>
            <w:tcW w:w="2126" w:type="dxa"/>
          </w:tcPr>
          <w:p w:rsidR="00F35244" w:rsidRPr="00C94273" w:rsidRDefault="00F35244" w:rsidP="001802FC">
            <w:pPr>
              <w:rPr>
                <w:rFonts w:cs="Arial"/>
                <w:sz w:val="20"/>
                <w:szCs w:val="20"/>
              </w:rPr>
            </w:pPr>
          </w:p>
        </w:tc>
        <w:tc>
          <w:tcPr>
            <w:tcW w:w="1418" w:type="dxa"/>
          </w:tcPr>
          <w:p w:rsidR="00F35244" w:rsidRPr="00C94273" w:rsidRDefault="00F35244" w:rsidP="001802FC">
            <w:pPr>
              <w:rPr>
                <w:rFonts w:cs="Arial"/>
                <w:sz w:val="20"/>
                <w:szCs w:val="20"/>
              </w:rPr>
            </w:pPr>
          </w:p>
        </w:tc>
        <w:tc>
          <w:tcPr>
            <w:tcW w:w="1134" w:type="dxa"/>
          </w:tcPr>
          <w:p w:rsidR="00F35244" w:rsidRPr="00C94273" w:rsidRDefault="00F35244" w:rsidP="001802FC">
            <w:pPr>
              <w:rPr>
                <w:rFonts w:cs="Arial"/>
                <w:sz w:val="20"/>
                <w:szCs w:val="20"/>
              </w:rPr>
            </w:pPr>
            <w:r w:rsidRPr="00C94273">
              <w:rPr>
                <w:rFonts w:cs="Arial"/>
                <w:sz w:val="20"/>
                <w:szCs w:val="20"/>
              </w:rPr>
              <w:t>E</w:t>
            </w:r>
          </w:p>
        </w:tc>
        <w:tc>
          <w:tcPr>
            <w:tcW w:w="5103" w:type="dxa"/>
          </w:tcPr>
          <w:p w:rsidR="00F35244" w:rsidRPr="00C94273" w:rsidRDefault="00F35244" w:rsidP="001802FC">
            <w:pPr>
              <w:rPr>
                <w:rFonts w:cs="Arial"/>
                <w:sz w:val="20"/>
                <w:szCs w:val="20"/>
              </w:rPr>
            </w:pPr>
            <w:r w:rsidRPr="00C94273">
              <w:rPr>
                <w:rFonts w:cs="Arial"/>
                <w:sz w:val="20"/>
                <w:szCs w:val="20"/>
              </w:rPr>
              <w:t>IUCN:</w:t>
            </w:r>
          </w:p>
          <w:p w:rsidR="00F35244" w:rsidRPr="00C94273" w:rsidRDefault="00F35244" w:rsidP="001802FC">
            <w:pPr>
              <w:rPr>
                <w:rFonts w:cs="Arial"/>
                <w:sz w:val="20"/>
                <w:szCs w:val="20"/>
              </w:rPr>
            </w:pPr>
            <w:r w:rsidRPr="00C94273">
              <w:rPr>
                <w:rFonts w:cs="Arial"/>
                <w:sz w:val="20"/>
                <w:szCs w:val="20"/>
              </w:rPr>
              <w:t>Summary: “This thematic study focuses on the contribution the Convention Concerning the Protection of the World Cultural and Natural Heritage (UNESCO 1972), commonly known as the World Heritage Convention (“the Convention”), can make to wilderness conservation around the world”.</w:t>
            </w:r>
          </w:p>
        </w:tc>
      </w:tr>
      <w:tr w:rsidR="00833F2A" w:rsidRPr="00C94273" w:rsidTr="0043685F">
        <w:trPr>
          <w:cantSplit/>
        </w:trPr>
        <w:tc>
          <w:tcPr>
            <w:tcW w:w="14176" w:type="dxa"/>
            <w:gridSpan w:val="6"/>
            <w:shd w:val="clear" w:color="auto" w:fill="FDE9D9" w:themeFill="accent6" w:themeFillTint="33"/>
          </w:tcPr>
          <w:p w:rsidR="00947298" w:rsidRPr="00C94273" w:rsidRDefault="00947298" w:rsidP="001802FC">
            <w:pPr>
              <w:rPr>
                <w:rFonts w:cs="Arial"/>
                <w:b/>
                <w:sz w:val="20"/>
                <w:szCs w:val="20"/>
              </w:rPr>
            </w:pPr>
            <w:r w:rsidRPr="00C94273">
              <w:rPr>
                <w:rFonts w:cs="Arial"/>
                <w:b/>
                <w:sz w:val="20"/>
                <w:szCs w:val="20"/>
              </w:rPr>
              <w:t>Up to 2015</w:t>
            </w:r>
          </w:p>
        </w:tc>
      </w:tr>
      <w:tr w:rsidR="00F37463" w:rsidRPr="00C94273" w:rsidTr="00762B18">
        <w:trPr>
          <w:cantSplit/>
        </w:trPr>
        <w:tc>
          <w:tcPr>
            <w:tcW w:w="3119" w:type="dxa"/>
          </w:tcPr>
          <w:p w:rsidR="0020282F" w:rsidRPr="00C94273" w:rsidRDefault="001E728F" w:rsidP="001802FC">
            <w:pPr>
              <w:rPr>
                <w:color w:val="FF0000"/>
                <w:sz w:val="20"/>
                <w:szCs w:val="20"/>
              </w:rPr>
            </w:pPr>
            <w:hyperlink r:id="rId76" w:history="1">
              <w:r w:rsidR="0020282F" w:rsidRPr="00C94273">
                <w:rPr>
                  <w:rStyle w:val="Hyperlink"/>
                  <w:sz w:val="20"/>
                  <w:szCs w:val="20"/>
                </w:rPr>
                <w:t>Wetland Resources Action Planning (WRAP) Toolkit</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p>
        </w:tc>
        <w:tc>
          <w:tcPr>
            <w:tcW w:w="5103" w:type="dxa"/>
          </w:tcPr>
          <w:p w:rsidR="0020282F" w:rsidRPr="00C94273" w:rsidRDefault="0020282F" w:rsidP="001802FC">
            <w:pPr>
              <w:rPr>
                <w:rFonts w:cs="Arial"/>
                <w:sz w:val="20"/>
                <w:szCs w:val="20"/>
              </w:rPr>
            </w:pP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lang w:val="en-AU"/>
              </w:rPr>
            </w:pPr>
            <w:hyperlink r:id="rId77" w:history="1">
              <w:r w:rsidR="0020282F" w:rsidRPr="00C94273">
                <w:rPr>
                  <w:rStyle w:val="Hyperlink"/>
                  <w:sz w:val="20"/>
                  <w:szCs w:val="20"/>
                  <w:lang w:val="en-AU"/>
                </w:rPr>
                <w:t>An Integrated Wetland Assessment Toolkit: A guide to good practice</w:t>
              </w:r>
            </w:hyperlink>
            <w:r w:rsidR="0020282F" w:rsidRPr="00C94273">
              <w:rPr>
                <w:rStyle w:val="Hyperlink"/>
                <w:sz w:val="20"/>
                <w:szCs w:val="20"/>
                <w:lang w:val="en-AU"/>
              </w:rPr>
              <w:t xml:space="preserve"> </w:t>
            </w:r>
            <w:r w:rsidR="0020282F" w:rsidRPr="00C94273">
              <w:rPr>
                <w:color w:val="FF0000"/>
                <w:sz w:val="20"/>
                <w:szCs w:val="20"/>
              </w:rPr>
              <w:t xml:space="preserve">  </w:t>
            </w:r>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rStyle w:val="Hyperlink"/>
                <w:color w:val="auto"/>
                <w:sz w:val="20"/>
                <w:szCs w:val="20"/>
                <w:u w:val="none"/>
              </w:rPr>
              <w:t>E</w:t>
            </w:r>
          </w:p>
        </w:tc>
        <w:tc>
          <w:tcPr>
            <w:tcW w:w="5103"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IUCN</w:t>
            </w:r>
          </w:p>
          <w:p w:rsidR="0020282F" w:rsidRPr="00C94273" w:rsidRDefault="0020282F" w:rsidP="001802FC">
            <w:pPr>
              <w:rPr>
                <w:rFonts w:cs="Arial"/>
                <w:sz w:val="20"/>
                <w:szCs w:val="20"/>
              </w:rPr>
            </w:pPr>
            <w:r w:rsidRPr="00C94273">
              <w:rPr>
                <w:rFonts w:cs="Arial"/>
                <w:sz w:val="20"/>
                <w:szCs w:val="20"/>
                <w:u w:val="single"/>
              </w:rPr>
              <w:t xml:space="preserve">Summary: </w:t>
            </w:r>
            <w:r w:rsidRPr="00C94273">
              <w:rPr>
                <w:rFonts w:cs="Arial"/>
                <w:sz w:val="20"/>
                <w:szCs w:val="20"/>
              </w:rPr>
              <w:t>“This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78" w:history="1">
              <w:r w:rsidR="0020282F" w:rsidRPr="00C94273">
                <w:rPr>
                  <w:rStyle w:val="Hyperlink"/>
                  <w:sz w:val="20"/>
                  <w:szCs w:val="20"/>
                </w:rPr>
                <w:t>Approaches to Sustainable Wetland Resource Management</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rFonts w:cs="Arial"/>
                <w:sz w:val="20"/>
                <w:szCs w:val="20"/>
              </w:rPr>
              <w:t>E</w:t>
            </w:r>
          </w:p>
        </w:tc>
        <w:tc>
          <w:tcPr>
            <w:tcW w:w="5103"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IUCN</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“Community Based </w:t>
            </w:r>
            <w:proofErr w:type="spellStart"/>
            <w:r w:rsidRPr="00C94273">
              <w:rPr>
                <w:rFonts w:cs="Arial"/>
                <w:sz w:val="20"/>
                <w:szCs w:val="20"/>
              </w:rPr>
              <w:t>Haor</w:t>
            </w:r>
            <w:proofErr w:type="spellEnd"/>
            <w:r w:rsidRPr="00C94273">
              <w:rPr>
                <w:rFonts w:cs="Arial"/>
                <w:sz w:val="20"/>
                <w:szCs w:val="20"/>
              </w:rPr>
              <w:t xml:space="preserve"> and Floodplain Resource Management . . . are being implemented by IUCN Bangladesh . . . since October 1998 in two </w:t>
            </w:r>
            <w:proofErr w:type="spellStart"/>
            <w:r w:rsidRPr="00C94273">
              <w:rPr>
                <w:rFonts w:cs="Arial"/>
                <w:sz w:val="20"/>
                <w:szCs w:val="20"/>
              </w:rPr>
              <w:t>haors</w:t>
            </w:r>
            <w:proofErr w:type="spellEnd"/>
            <w:r w:rsidRPr="00C94273">
              <w:rPr>
                <w:rFonts w:cs="Arial"/>
                <w:sz w:val="20"/>
                <w:szCs w:val="20"/>
              </w:rPr>
              <w:t xml:space="preserve"> and three floodplain areas of Bangladesh. . . . The approach used several Participatory Rural Appraisal (PRA) tools and techniques. . . . This approach to project piloting also considered sustainability issues for each and every individual activity while ensuring the participation of the Community Based Organizations formed under the project. This book briefly describes the approaches and methodology for planning, implementation and demonstration of various activities in five different wetland areas in the country.”</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79" w:history="1">
              <w:r w:rsidR="0020282F" w:rsidRPr="00C94273">
                <w:rPr>
                  <w:rStyle w:val="Hyperlink"/>
                  <w:sz w:val="20"/>
                  <w:szCs w:val="20"/>
                </w:rPr>
                <w:t>Flow: The essentials of environmental flows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rStyle w:val="Hyperlink"/>
                <w:color w:val="auto"/>
                <w:sz w:val="20"/>
                <w:szCs w:val="20"/>
                <w:u w:val="none"/>
              </w:rPr>
              <w:t>EFSC</w:t>
            </w:r>
          </w:p>
        </w:tc>
        <w:tc>
          <w:tcPr>
            <w:tcW w:w="5103"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IUCN</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“This guide, the second in the series of the Water &amp; Nature Initiative, draws extensively on the experiences in these countries [South Africa, Australia, and the United States] to offer hands-on advice for this emerging issue on the water resource agenda. It goes well beyond existing literature to offer practical guidance on technical issues, such as assessment methods and infrastructural adaptation, and the economic, legal and political dimensions of establishing environmental flows.”</w:t>
            </w:r>
          </w:p>
        </w:tc>
      </w:tr>
      <w:tr w:rsidR="00F37463" w:rsidRPr="00C94273" w:rsidTr="00762B18">
        <w:trPr>
          <w:cantSplit/>
        </w:trPr>
        <w:tc>
          <w:tcPr>
            <w:tcW w:w="3119" w:type="dxa"/>
          </w:tcPr>
          <w:p w:rsidR="0020282F" w:rsidRPr="00C94273" w:rsidRDefault="001E728F" w:rsidP="001802FC">
            <w:pPr>
              <w:rPr>
                <w:sz w:val="20"/>
                <w:szCs w:val="20"/>
                <w:lang w:val="fr-FR"/>
              </w:rPr>
            </w:pPr>
            <w:hyperlink r:id="rId80" w:history="1">
              <w:r w:rsidR="0020282F" w:rsidRPr="00C94273">
                <w:rPr>
                  <w:rStyle w:val="Hyperlink"/>
                  <w:sz w:val="20"/>
                  <w:szCs w:val="20"/>
                  <w:lang w:val="fr-FR"/>
                </w:rPr>
                <w:t>Gestion des zones humides en milieux arides : leçons d'expérience</w:t>
              </w:r>
            </w:hyperlink>
          </w:p>
        </w:tc>
        <w:tc>
          <w:tcPr>
            <w:tcW w:w="1276" w:type="dxa"/>
          </w:tcPr>
          <w:p w:rsidR="0020282F" w:rsidRPr="00C94273" w:rsidRDefault="0020282F" w:rsidP="001802FC">
            <w:pPr>
              <w:rPr>
                <w:rFonts w:cs="Arial"/>
                <w:sz w:val="20"/>
                <w:szCs w:val="20"/>
                <w:lang w:val="fr-FR"/>
              </w:rPr>
            </w:pPr>
          </w:p>
        </w:tc>
        <w:tc>
          <w:tcPr>
            <w:tcW w:w="2126" w:type="dxa"/>
          </w:tcPr>
          <w:p w:rsidR="0020282F" w:rsidRPr="00C94273" w:rsidRDefault="0020282F" w:rsidP="001802FC">
            <w:pPr>
              <w:rPr>
                <w:rFonts w:cs="Arial"/>
                <w:sz w:val="20"/>
                <w:szCs w:val="20"/>
                <w:lang w:val="fr-FR"/>
              </w:rPr>
            </w:pPr>
          </w:p>
        </w:tc>
        <w:tc>
          <w:tcPr>
            <w:tcW w:w="1418" w:type="dxa"/>
          </w:tcPr>
          <w:p w:rsidR="0020282F" w:rsidRPr="00C94273" w:rsidRDefault="0020282F" w:rsidP="001802FC">
            <w:pPr>
              <w:rPr>
                <w:rFonts w:cs="Arial"/>
                <w:sz w:val="20"/>
                <w:szCs w:val="20"/>
                <w:lang w:val="fr-FR"/>
              </w:rPr>
            </w:pPr>
          </w:p>
        </w:tc>
        <w:tc>
          <w:tcPr>
            <w:tcW w:w="1134" w:type="dxa"/>
          </w:tcPr>
          <w:p w:rsidR="0020282F" w:rsidRPr="00C94273" w:rsidRDefault="0020282F" w:rsidP="001802FC">
            <w:pPr>
              <w:rPr>
                <w:rFonts w:cs="Arial"/>
                <w:color w:val="000000" w:themeColor="text1"/>
                <w:sz w:val="20"/>
                <w:szCs w:val="20"/>
                <w:lang w:val="fr-FR"/>
              </w:rPr>
            </w:pPr>
            <w:r w:rsidRPr="00C94273">
              <w:rPr>
                <w:color w:val="000000" w:themeColor="text1"/>
                <w:sz w:val="20"/>
                <w:szCs w:val="20"/>
                <w:lang w:val="fr-FR"/>
              </w:rPr>
              <w:t>F</w:t>
            </w:r>
          </w:p>
        </w:tc>
        <w:tc>
          <w:tcPr>
            <w:tcW w:w="5103" w:type="dxa"/>
          </w:tcPr>
          <w:p w:rsidR="0020282F" w:rsidRPr="00C94273" w:rsidRDefault="0020282F" w:rsidP="001802FC">
            <w:pPr>
              <w:rPr>
                <w:rFonts w:cs="Arial"/>
                <w:color w:val="000000" w:themeColor="text1"/>
                <w:sz w:val="20"/>
                <w:szCs w:val="20"/>
                <w:lang w:val="fr-FR"/>
              </w:rPr>
            </w:pPr>
            <w:r w:rsidRPr="00C94273">
              <w:rPr>
                <w:color w:val="000000" w:themeColor="text1"/>
                <w:sz w:val="20"/>
                <w:szCs w:val="20"/>
                <w:lang w:val="fr-FR"/>
              </w:rPr>
              <w:t>IUCN</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1" w:history="1">
              <w:r w:rsidR="0020282F" w:rsidRPr="00C94273">
                <w:rPr>
                  <w:rStyle w:val="Hyperlink"/>
                  <w:sz w:val="20"/>
                  <w:szCs w:val="20"/>
                </w:rPr>
                <w:t>Wetland Management Planning: Methodology Manual for Indian Planners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lang w:val="fr-FR"/>
              </w:rPr>
            </w:pPr>
            <w:r w:rsidRPr="00C94273">
              <w:rPr>
                <w:rStyle w:val="Hyperlink"/>
                <w:color w:val="auto"/>
                <w:sz w:val="20"/>
                <w:szCs w:val="20"/>
                <w:u w:val="none"/>
              </w:rPr>
              <w:t>E</w:t>
            </w:r>
          </w:p>
        </w:tc>
        <w:tc>
          <w:tcPr>
            <w:tcW w:w="5103"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Wetlands International</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“This guidance has been prepared for the wetland managers to assist in developing integrated management plans. It focuses on application of an integrated methodology to assist systematic identification of management objectives and an action plan using results based mechanisms to setting goal, outcomes and outputs. The existing guidelines of Ramsar Convention on wetland management planning as well as wise use handbooks have been used to develop the various sections.”</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2" w:history="1">
              <w:r w:rsidR="0020282F" w:rsidRPr="00C94273">
                <w:rPr>
                  <w:rStyle w:val="Hyperlink"/>
                  <w:sz w:val="20"/>
                  <w:szCs w:val="20"/>
                </w:rPr>
                <w:t>Wetland Management Planning: A Guide for Site Managers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rFonts w:cs="Arial"/>
                <w:sz w:val="20"/>
                <w:szCs w:val="20"/>
              </w:rPr>
              <w:t>E</w:t>
            </w:r>
          </w:p>
        </w:tc>
        <w:tc>
          <w:tcPr>
            <w:tcW w:w="5103" w:type="dxa"/>
          </w:tcPr>
          <w:p w:rsidR="0020282F" w:rsidRPr="00C94273" w:rsidRDefault="0020282F" w:rsidP="001802FC">
            <w:pPr>
              <w:rPr>
                <w:sz w:val="20"/>
                <w:szCs w:val="20"/>
              </w:rPr>
            </w:pPr>
            <w:r w:rsidRPr="00C94273">
              <w:rPr>
                <w:sz w:val="20"/>
                <w:szCs w:val="20"/>
              </w:rPr>
              <w:t>WWF, Wetlands International, IUCN (and Ramsar)</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“This guide is intended to provide a summary of the steps to develop wetland management planning processes. . . . This summary guide has been prepared to help managers of sites listed under the Ramsar Convention on wetlands as well as all other types of wetlands. It provides a summary of </w:t>
            </w:r>
            <w:proofErr w:type="spellStart"/>
            <w:r w:rsidRPr="00C94273">
              <w:rPr>
                <w:rFonts w:cs="Arial"/>
                <w:sz w:val="20"/>
                <w:szCs w:val="20"/>
              </w:rPr>
              <w:t>Ramsar’s</w:t>
            </w:r>
            <w:proofErr w:type="spellEnd"/>
            <w:r w:rsidRPr="00C94273">
              <w:rPr>
                <w:rFonts w:cs="Arial"/>
                <w:sz w:val="20"/>
                <w:szCs w:val="20"/>
              </w:rPr>
              <w:t xml:space="preserve"> Handbook 16 . . . while highlighting other relevant sources of useful information on wetland management planning.”</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3" w:history="1">
              <w:r w:rsidR="0020282F" w:rsidRPr="00C94273">
                <w:rPr>
                  <w:rStyle w:val="Hyperlink"/>
                  <w:sz w:val="20"/>
                  <w:szCs w:val="20"/>
                </w:rPr>
                <w:t>The Economics of Ecosystems and Biodiversity for Water and Wetlands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 (summary available in EFSRAC)</w:t>
            </w:r>
          </w:p>
        </w:tc>
        <w:tc>
          <w:tcPr>
            <w:tcW w:w="5103" w:type="dxa"/>
          </w:tcPr>
          <w:p w:rsidR="0020282F" w:rsidRPr="00C94273" w:rsidRDefault="0020282F" w:rsidP="001802FC">
            <w:pPr>
              <w:rPr>
                <w:sz w:val="20"/>
                <w:szCs w:val="20"/>
              </w:rPr>
            </w:pPr>
            <w:r w:rsidRPr="00C94273">
              <w:rPr>
                <w:sz w:val="20"/>
                <w:szCs w:val="20"/>
              </w:rPr>
              <w:t>IEEP &amp; Ramsar</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Chapter 4 deals with the integrated management of land, water and wetlands. It outlines the different policy instruments that can be used to foster conservation and restoration, including site management, regulation and land use planning, property rights and market-based instruments.”</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4" w:history="1">
              <w:r w:rsidR="0020282F" w:rsidRPr="00C94273">
                <w:rPr>
                  <w:rStyle w:val="Hyperlink"/>
                  <w:sz w:val="20"/>
                  <w:szCs w:val="20"/>
                </w:rPr>
                <w:t>Destination Wetlands: Supporting sustainable tourism</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EFSA</w:t>
            </w:r>
          </w:p>
        </w:tc>
        <w:tc>
          <w:tcPr>
            <w:tcW w:w="5103" w:type="dxa"/>
          </w:tcPr>
          <w:p w:rsidR="0020282F" w:rsidRPr="00C94273" w:rsidRDefault="0020282F" w:rsidP="001802FC">
            <w:pPr>
              <w:rPr>
                <w:sz w:val="20"/>
                <w:szCs w:val="20"/>
              </w:rPr>
            </w:pPr>
            <w:r w:rsidRPr="00C94273">
              <w:rPr>
                <w:sz w:val="20"/>
                <w:szCs w:val="20"/>
              </w:rPr>
              <w:t>Ramsar &amp; World Tourism Organization</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“Fourteen wetland case studies form the core of this publication and were selected to exemplify both the diversity of wetland types around the world and the diversity in the scale of wetland tourism in Wetlands of International Importance . . . , and to illustrate effective approaches in managing tourism for the wetland sector. This information is particularly addressed to wetland management authorities but should also be relevant to many others.”</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lang w:val="en"/>
              </w:rPr>
            </w:pPr>
            <w:hyperlink r:id="rId85" w:history="1">
              <w:r w:rsidR="0020282F" w:rsidRPr="00C94273">
                <w:rPr>
                  <w:rStyle w:val="Hyperlink"/>
                  <w:sz w:val="20"/>
                  <w:szCs w:val="20"/>
                  <w:lang w:val="en"/>
                </w:rPr>
                <w:t xml:space="preserve">Handbook on Best Practices for the Planning, Design and Operation of Wetland Education </w:t>
              </w:r>
              <w:proofErr w:type="spellStart"/>
              <w:r w:rsidR="0020282F" w:rsidRPr="00C94273">
                <w:rPr>
                  <w:rStyle w:val="Hyperlink"/>
                  <w:sz w:val="20"/>
                  <w:szCs w:val="20"/>
                  <w:lang w:val="en"/>
                </w:rPr>
                <w:t>Centres</w:t>
              </w:r>
              <w:proofErr w:type="spellEnd"/>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EFK</w:t>
            </w:r>
          </w:p>
        </w:tc>
        <w:tc>
          <w:tcPr>
            <w:tcW w:w="5103" w:type="dxa"/>
          </w:tcPr>
          <w:p w:rsidR="0020282F" w:rsidRPr="00C94273" w:rsidRDefault="0020282F" w:rsidP="001802FC">
            <w:pPr>
              <w:rPr>
                <w:sz w:val="20"/>
                <w:szCs w:val="20"/>
              </w:rPr>
            </w:pPr>
            <w:r w:rsidRPr="00C94273">
              <w:rPr>
                <w:sz w:val="20"/>
                <w:szCs w:val="20"/>
              </w:rPr>
              <w:t>Ramsar &amp; Environmental Ecosystem Research Foundation</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“The objective of this Handbook is to present a range of key lessons learnt from a variety of wetland education centres around the world. It is hoped that these lessons will inform people involved in the planning and development of new centres or will assist others in the redevelopment or management of existing centres. . . . The Handbook is divided into chapters each of which deals with a component of the planning, design and operation of a wetland education centre.”</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6" w:history="1">
              <w:r w:rsidR="0020282F" w:rsidRPr="00C94273">
                <w:rPr>
                  <w:rStyle w:val="Hyperlink"/>
                  <w:sz w:val="20"/>
                  <w:szCs w:val="20"/>
                </w:rPr>
                <w:t>Our Country Our Way: Guidelines for Australian Indigenous Protected Area Management Plans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w:t>
            </w:r>
          </w:p>
        </w:tc>
        <w:tc>
          <w:tcPr>
            <w:tcW w:w="5103" w:type="dxa"/>
          </w:tcPr>
          <w:p w:rsidR="0020282F" w:rsidRPr="00C94273" w:rsidRDefault="0020282F" w:rsidP="001802FC">
            <w:pPr>
              <w:rPr>
                <w:sz w:val="20"/>
                <w:szCs w:val="20"/>
              </w:rPr>
            </w:pPr>
            <w:r w:rsidRPr="00C94273">
              <w:rPr>
                <w:sz w:val="20"/>
                <w:szCs w:val="20"/>
              </w:rPr>
              <w:t>Australian Government</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“The purpose of Our Country Our Way is to assist IPA [Indigenous Protected Area] owners, custodians and managers, including those involved in co-management projects, to produce Management Plans that ensure outcomes of value to both Indigenous peoples and the Australian nation. IPA Management Plans bring together management based on connections between Indigenous people, country, traditional law, custom and culture with the Australian and international systems for protected area management.”</w:t>
            </w:r>
          </w:p>
        </w:tc>
      </w:tr>
      <w:tr w:rsidR="00F37463" w:rsidRPr="00C94273" w:rsidTr="00762B18">
        <w:trPr>
          <w:cantSplit/>
        </w:trPr>
        <w:tc>
          <w:tcPr>
            <w:tcW w:w="3119" w:type="dxa"/>
          </w:tcPr>
          <w:p w:rsidR="0020282F" w:rsidRPr="00C94273" w:rsidRDefault="001E728F" w:rsidP="001802FC">
            <w:pPr>
              <w:rPr>
                <w:color w:val="0000FF" w:themeColor="hyperlink"/>
                <w:sz w:val="20"/>
                <w:szCs w:val="20"/>
                <w:u w:val="single"/>
              </w:rPr>
            </w:pPr>
            <w:hyperlink r:id="rId87" w:history="1">
              <w:r w:rsidR="0020282F" w:rsidRPr="00C94273">
                <w:rPr>
                  <w:rStyle w:val="Hyperlink"/>
                  <w:sz w:val="20"/>
                  <w:szCs w:val="20"/>
                </w:rPr>
                <w:t>Towards a Community of Practice of Wetland Project Managers: Lessons Learned from Central and West Asia and the Mediterranean</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418" w:type="dxa"/>
          </w:tcPr>
          <w:p w:rsidR="0020282F" w:rsidRPr="00C94273" w:rsidRDefault="0020282F" w:rsidP="001802FC">
            <w:pPr>
              <w:rPr>
                <w:rFonts w:cs="Arial"/>
                <w:sz w:val="20"/>
                <w:szCs w:val="20"/>
              </w:rPr>
            </w:pPr>
          </w:p>
        </w:tc>
        <w:tc>
          <w:tcPr>
            <w:tcW w:w="1134" w:type="dxa"/>
          </w:tcPr>
          <w:p w:rsidR="0020282F" w:rsidRPr="00C94273" w:rsidRDefault="0020282F" w:rsidP="001802FC">
            <w:pPr>
              <w:rPr>
                <w:rFonts w:cs="Arial"/>
                <w:sz w:val="20"/>
                <w:szCs w:val="20"/>
              </w:rPr>
            </w:pPr>
            <w:r w:rsidRPr="00C94273">
              <w:rPr>
                <w:sz w:val="20"/>
                <w:szCs w:val="20"/>
              </w:rPr>
              <w:t>E and Farsi</w:t>
            </w:r>
          </w:p>
        </w:tc>
        <w:tc>
          <w:tcPr>
            <w:tcW w:w="5103" w:type="dxa"/>
          </w:tcPr>
          <w:p w:rsidR="0020282F" w:rsidRPr="00C94273" w:rsidRDefault="0020282F" w:rsidP="001802FC">
            <w:pPr>
              <w:rPr>
                <w:rFonts w:cs="Arial"/>
                <w:sz w:val="20"/>
                <w:szCs w:val="20"/>
                <w:lang w:val="fr-FR"/>
              </w:rPr>
            </w:pPr>
            <w:r w:rsidRPr="00C94273">
              <w:rPr>
                <w:rFonts w:cs="Arial"/>
                <w:sz w:val="20"/>
                <w:szCs w:val="20"/>
                <w:lang w:val="fr-FR"/>
              </w:rPr>
              <w:t>DOE-Iran,</w:t>
            </w:r>
          </w:p>
          <w:p w:rsidR="0020282F" w:rsidRPr="00C94273" w:rsidRDefault="0020282F" w:rsidP="001802FC">
            <w:pPr>
              <w:rPr>
                <w:rFonts w:cs="Arial"/>
                <w:sz w:val="20"/>
                <w:szCs w:val="20"/>
                <w:lang w:val="fr-FR"/>
              </w:rPr>
            </w:pPr>
            <w:r w:rsidRPr="00C94273">
              <w:rPr>
                <w:rFonts w:cs="Arial"/>
                <w:sz w:val="20"/>
                <w:szCs w:val="20"/>
                <w:lang w:val="fr-FR"/>
              </w:rPr>
              <w:t>UNDP, GEF, et al</w:t>
            </w:r>
          </w:p>
          <w:p w:rsidR="0020282F" w:rsidRPr="00C94273" w:rsidRDefault="0020282F" w:rsidP="001802FC">
            <w:pPr>
              <w:rPr>
                <w:rFonts w:cs="Arial"/>
                <w:sz w:val="20"/>
                <w:szCs w:val="20"/>
              </w:rPr>
            </w:pPr>
            <w:r w:rsidRPr="00C94273">
              <w:rPr>
                <w:rFonts w:cs="Arial"/>
                <w:sz w:val="20"/>
                <w:szCs w:val="20"/>
                <w:u w:val="single"/>
              </w:rPr>
              <w:t>Summary:</w:t>
            </w:r>
            <w:r w:rsidRPr="00C94273">
              <w:rPr>
                <w:rFonts w:cs="Arial"/>
                <w:sz w:val="20"/>
                <w:szCs w:val="20"/>
              </w:rPr>
              <w:t xml:space="preserve"> “To exchange best practices and lessons-learned regarding conservation and management of wetlands between the project managers, the Conservation of Iranian Wetlands project and the Ramsar Regional </w:t>
            </w:r>
            <w:proofErr w:type="spellStart"/>
            <w:r w:rsidRPr="00C94273">
              <w:rPr>
                <w:rFonts w:cs="Arial"/>
                <w:sz w:val="20"/>
                <w:szCs w:val="20"/>
              </w:rPr>
              <w:t>Center</w:t>
            </w:r>
            <w:proofErr w:type="spellEnd"/>
            <w:r w:rsidRPr="00C94273">
              <w:rPr>
                <w:rFonts w:cs="Arial"/>
                <w:sz w:val="20"/>
                <w:szCs w:val="20"/>
              </w:rPr>
              <w:t xml:space="preserve"> for training and research in West and Central Asia jointly organized the workshop Towards a Community of Practice for Wetlands Project Managers in October 2010. This resource book which is written based on the mentioned workshop, presents and records the experiences of 11 demonstration projects of wetlands management.”</w:t>
            </w:r>
          </w:p>
        </w:tc>
      </w:tr>
    </w:tbl>
    <w:p w:rsidR="00F93D80" w:rsidRPr="00C94273" w:rsidRDefault="00F93D80" w:rsidP="001802FC">
      <w:pPr>
        <w:spacing w:after="0" w:line="240" w:lineRule="auto"/>
        <w:rPr>
          <w:rFonts w:cs="Arial"/>
          <w:sz w:val="20"/>
          <w:szCs w:val="20"/>
        </w:rPr>
      </w:pPr>
    </w:p>
    <w:p w:rsidR="005B70CC" w:rsidRPr="00C94273" w:rsidRDefault="005B70CC">
      <w:pPr>
        <w:rPr>
          <w:rFonts w:cs="Arial"/>
          <w:sz w:val="20"/>
          <w:szCs w:val="20"/>
        </w:rPr>
      </w:pPr>
      <w:r w:rsidRPr="00C94273">
        <w:rPr>
          <w:rFonts w:cs="Arial"/>
          <w:sz w:val="20"/>
          <w:szCs w:val="20"/>
        </w:rPr>
        <w:br w:type="page"/>
      </w:r>
    </w:p>
    <w:tbl>
      <w:tblPr>
        <w:tblStyle w:val="TableGrid"/>
        <w:tblW w:w="0" w:type="auto"/>
        <w:tblCellMar>
          <w:top w:w="57" w:type="dxa"/>
          <w:bottom w:w="57" w:type="dxa"/>
        </w:tblCellMar>
        <w:tblLook w:val="04A0" w:firstRow="1" w:lastRow="0" w:firstColumn="1" w:lastColumn="0" w:noHBand="0" w:noVBand="1"/>
      </w:tblPr>
      <w:tblGrid>
        <w:gridCol w:w="3085"/>
        <w:gridCol w:w="1276"/>
        <w:gridCol w:w="2126"/>
        <w:gridCol w:w="1355"/>
        <w:gridCol w:w="1288"/>
        <w:gridCol w:w="5044"/>
      </w:tblGrid>
      <w:tr w:rsidR="00F93D80" w:rsidRPr="00C94273" w:rsidTr="0043685F">
        <w:trPr>
          <w:cantSplit/>
        </w:trPr>
        <w:tc>
          <w:tcPr>
            <w:tcW w:w="0" w:type="auto"/>
            <w:gridSpan w:val="6"/>
            <w:shd w:val="clear" w:color="auto" w:fill="FDE9D9" w:themeFill="accent6" w:themeFillTint="33"/>
          </w:tcPr>
          <w:p w:rsidR="00F93D80" w:rsidRPr="00C94273" w:rsidRDefault="00F93D80" w:rsidP="001802FC">
            <w:pPr>
              <w:jc w:val="center"/>
              <w:rPr>
                <w:rFonts w:cs="Arial"/>
                <w:b/>
                <w:sz w:val="20"/>
                <w:szCs w:val="20"/>
              </w:rPr>
            </w:pPr>
            <w:r w:rsidRPr="00C94273">
              <w:rPr>
                <w:rFonts w:cs="Arial"/>
                <w:b/>
                <w:sz w:val="20"/>
                <w:szCs w:val="20"/>
              </w:rPr>
              <w:lastRenderedPageBreak/>
              <w:t xml:space="preserve">Thematic Work Area No.3: </w:t>
            </w:r>
            <w:r w:rsidRPr="00C94273">
              <w:rPr>
                <w:b/>
                <w:sz w:val="20"/>
                <w:szCs w:val="20"/>
              </w:rPr>
              <w:t xml:space="preserve">Methodologies for the economic and non-economic valuation of the values of the functions and services of wetlands, </w:t>
            </w:r>
            <w:r w:rsidRPr="00C94273">
              <w:rPr>
                <w:b/>
                <w:sz w:val="20"/>
                <w:szCs w:val="20"/>
              </w:rPr>
              <w:br/>
              <w:t>and improved methodologies and knowledge exchange on current and future drivers of wetland loss and degradation</w:t>
            </w:r>
          </w:p>
        </w:tc>
      </w:tr>
      <w:tr w:rsidR="008F5F6F" w:rsidRPr="00C94273" w:rsidTr="0043685F">
        <w:trPr>
          <w:cantSplit/>
        </w:trPr>
        <w:tc>
          <w:tcPr>
            <w:tcW w:w="3085"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Title</w:t>
            </w:r>
          </w:p>
        </w:tc>
        <w:tc>
          <w:tcPr>
            <w:tcW w:w="1276"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Type of guidance</w:t>
            </w:r>
          </w:p>
        </w:tc>
        <w:tc>
          <w:tcPr>
            <w:tcW w:w="2126"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Target audience (practitioners, policymakers, scientists)</w:t>
            </w:r>
          </w:p>
        </w:tc>
        <w:tc>
          <w:tcPr>
            <w:tcW w:w="1355"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Ramsar Handbook (4</w:t>
            </w:r>
            <w:r w:rsidRPr="00C94273">
              <w:rPr>
                <w:rFonts w:cs="Arial"/>
                <w:b/>
                <w:sz w:val="20"/>
                <w:szCs w:val="20"/>
                <w:vertAlign w:val="superscript"/>
              </w:rPr>
              <w:t>th</w:t>
            </w:r>
            <w:r w:rsidRPr="00C94273">
              <w:rPr>
                <w:rFonts w:cs="Arial"/>
                <w:b/>
                <w:sz w:val="20"/>
                <w:szCs w:val="20"/>
              </w:rPr>
              <w:t xml:space="preserve"> ed.)</w:t>
            </w:r>
          </w:p>
        </w:tc>
        <w:tc>
          <w:tcPr>
            <w:tcW w:w="1288"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Language</w:t>
            </w:r>
            <w:r w:rsidRPr="00C94273">
              <w:rPr>
                <w:rStyle w:val="FootnoteReference"/>
                <w:rFonts w:cs="Arial"/>
                <w:b/>
                <w:sz w:val="20"/>
                <w:szCs w:val="20"/>
              </w:rPr>
              <w:footnoteReference w:id="3"/>
            </w:r>
          </w:p>
        </w:tc>
        <w:tc>
          <w:tcPr>
            <w:tcW w:w="5044" w:type="dxa"/>
            <w:shd w:val="clear" w:color="auto" w:fill="FDE9D9" w:themeFill="accent6" w:themeFillTint="33"/>
          </w:tcPr>
          <w:p w:rsidR="00F93D80" w:rsidRPr="00C94273" w:rsidRDefault="00F93D80" w:rsidP="00F93D80">
            <w:pPr>
              <w:jc w:val="center"/>
              <w:rPr>
                <w:rFonts w:cs="Arial"/>
                <w:b/>
                <w:sz w:val="20"/>
                <w:szCs w:val="20"/>
              </w:rPr>
            </w:pPr>
            <w:r w:rsidRPr="00C94273">
              <w:rPr>
                <w:rFonts w:cs="Arial"/>
                <w:b/>
                <w:sz w:val="20"/>
                <w:szCs w:val="20"/>
              </w:rPr>
              <w:t>Notes</w:t>
            </w:r>
          </w:p>
        </w:tc>
      </w:tr>
      <w:tr w:rsidR="00F93D80" w:rsidRPr="00C94273" w:rsidTr="00E602AE">
        <w:trPr>
          <w:cantSplit/>
        </w:trPr>
        <w:tc>
          <w:tcPr>
            <w:tcW w:w="0" w:type="auto"/>
            <w:gridSpan w:val="6"/>
            <w:shd w:val="clear" w:color="auto" w:fill="F2F2F2" w:themeFill="background1" w:themeFillShade="F2"/>
          </w:tcPr>
          <w:p w:rsidR="00A02F5E" w:rsidRPr="00C94273" w:rsidRDefault="00665782" w:rsidP="001802FC">
            <w:pPr>
              <w:jc w:val="center"/>
              <w:rPr>
                <w:rFonts w:cs="Arial"/>
                <w:b/>
                <w:sz w:val="20"/>
                <w:szCs w:val="20"/>
              </w:rPr>
            </w:pPr>
            <w:r w:rsidRPr="00C94273">
              <w:rPr>
                <w:b/>
                <w:sz w:val="20"/>
                <w:szCs w:val="20"/>
              </w:rPr>
              <w:t>Ramsar guidance</w:t>
            </w:r>
          </w:p>
        </w:tc>
      </w:tr>
      <w:tr w:rsidR="00F93D80" w:rsidRPr="00C94273" w:rsidTr="0043685F">
        <w:trPr>
          <w:cantSplit/>
        </w:trPr>
        <w:tc>
          <w:tcPr>
            <w:tcW w:w="0" w:type="auto"/>
            <w:gridSpan w:val="6"/>
            <w:shd w:val="clear" w:color="auto" w:fill="FDE9D9" w:themeFill="accent6" w:themeFillTint="33"/>
          </w:tcPr>
          <w:p w:rsidR="00947298" w:rsidRPr="00C94273" w:rsidRDefault="00947298" w:rsidP="001802FC">
            <w:pPr>
              <w:rPr>
                <w:sz w:val="20"/>
                <w:szCs w:val="20"/>
                <w:lang w:val="en-AU"/>
              </w:rPr>
            </w:pPr>
            <w:r w:rsidRPr="00C94273">
              <w:rPr>
                <w:b/>
                <w:sz w:val="20"/>
                <w:szCs w:val="20"/>
                <w:lang w:val="en-AU"/>
              </w:rPr>
              <w:t>2016-2019 update</w:t>
            </w:r>
          </w:p>
        </w:tc>
      </w:tr>
      <w:tr w:rsidR="008F5F6F" w:rsidRPr="00C94273" w:rsidTr="00762B18">
        <w:trPr>
          <w:cantSplit/>
        </w:trPr>
        <w:tc>
          <w:tcPr>
            <w:tcW w:w="3085" w:type="dxa"/>
          </w:tcPr>
          <w:p w:rsidR="00684AB3" w:rsidRPr="00C94273" w:rsidRDefault="001E728F" w:rsidP="001802FC">
            <w:pPr>
              <w:rPr>
                <w:sz w:val="20"/>
                <w:szCs w:val="20"/>
              </w:rPr>
            </w:pPr>
            <w:hyperlink r:id="rId88" w:history="1">
              <w:r w:rsidR="00684AB3" w:rsidRPr="00C94273">
                <w:rPr>
                  <w:rStyle w:val="Hyperlink"/>
                  <w:sz w:val="20"/>
                  <w:szCs w:val="20"/>
                </w:rPr>
                <w:t>Resolution XIII.17: Rapidly assessing wetland ecosystem services</w:t>
              </w:r>
            </w:hyperlink>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 xml:space="preserve">Policymakers, practitioners </w:t>
            </w:r>
          </w:p>
        </w:tc>
        <w:tc>
          <w:tcPr>
            <w:tcW w:w="1355" w:type="dxa"/>
          </w:tcPr>
          <w:p w:rsidR="00684AB3" w:rsidRPr="00C94273" w:rsidRDefault="00D91F4B" w:rsidP="001802FC">
            <w:pPr>
              <w:rPr>
                <w:rFonts w:cs="Arial"/>
                <w:sz w:val="20"/>
                <w:szCs w:val="20"/>
              </w:rPr>
            </w:pPr>
            <w:r w:rsidRPr="00C94273">
              <w:rPr>
                <w:rFonts w:cs="Arial"/>
                <w:sz w:val="20"/>
                <w:szCs w:val="20"/>
              </w:rPr>
              <w:t>Not yet included in a Handbook</w:t>
            </w:r>
          </w:p>
        </w:tc>
        <w:tc>
          <w:tcPr>
            <w:tcW w:w="1288" w:type="dxa"/>
          </w:tcPr>
          <w:p w:rsidR="00684AB3" w:rsidRPr="00C94273" w:rsidRDefault="00684AB3" w:rsidP="001802FC">
            <w:pPr>
              <w:rPr>
                <w:sz w:val="20"/>
                <w:szCs w:val="20"/>
              </w:rPr>
            </w:pPr>
            <w:r w:rsidRPr="00C94273">
              <w:rPr>
                <w:sz w:val="20"/>
                <w:szCs w:val="20"/>
              </w:rPr>
              <w:t>EFS</w:t>
            </w:r>
          </w:p>
        </w:tc>
        <w:tc>
          <w:tcPr>
            <w:tcW w:w="5044" w:type="dxa"/>
          </w:tcPr>
          <w:p w:rsidR="00684AB3" w:rsidRPr="00C94273" w:rsidRDefault="00684AB3" w:rsidP="001802FC">
            <w:pPr>
              <w:rPr>
                <w:sz w:val="20"/>
                <w:szCs w:val="20"/>
                <w:lang w:val="en-AU"/>
              </w:rPr>
            </w:pPr>
          </w:p>
        </w:tc>
      </w:tr>
      <w:tr w:rsidR="008F5F6F" w:rsidRPr="00C94273" w:rsidTr="00762B18">
        <w:trPr>
          <w:cantSplit/>
        </w:trPr>
        <w:tc>
          <w:tcPr>
            <w:tcW w:w="3085" w:type="dxa"/>
          </w:tcPr>
          <w:p w:rsidR="00684AB3" w:rsidRPr="00C94273" w:rsidRDefault="001E728F" w:rsidP="001802FC">
            <w:pPr>
              <w:rPr>
                <w:sz w:val="20"/>
                <w:szCs w:val="20"/>
              </w:rPr>
            </w:pPr>
            <w:hyperlink r:id="rId89" w:history="1">
              <w:r w:rsidR="00684AB3" w:rsidRPr="00C94273">
                <w:rPr>
                  <w:rStyle w:val="Hyperlink"/>
                  <w:sz w:val="20"/>
                  <w:szCs w:val="20"/>
                </w:rPr>
                <w:t>Ramsar Policy Brief 1: Wetlands for disaster risk reduction - Effective choices for resilient communities</w:t>
              </w:r>
            </w:hyperlink>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Policymakers</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sz w:val="20"/>
                <w:szCs w:val="20"/>
              </w:rPr>
            </w:pPr>
            <w:r w:rsidRPr="00C94273">
              <w:rPr>
                <w:sz w:val="20"/>
                <w:szCs w:val="20"/>
              </w:rPr>
              <w:t>EFS</w:t>
            </w:r>
          </w:p>
        </w:tc>
        <w:tc>
          <w:tcPr>
            <w:tcW w:w="5044" w:type="dxa"/>
          </w:tcPr>
          <w:p w:rsidR="00684AB3" w:rsidRPr="00C94273" w:rsidRDefault="00684AB3" w:rsidP="001802FC">
            <w:pPr>
              <w:rPr>
                <w:sz w:val="20"/>
                <w:szCs w:val="20"/>
              </w:rPr>
            </w:pPr>
            <w:r w:rsidRPr="00C94273">
              <w:rPr>
                <w:sz w:val="20"/>
                <w:szCs w:val="20"/>
                <w:u w:val="single"/>
                <w:lang w:val="en-AU"/>
              </w:rPr>
              <w:t>Summary</w:t>
            </w:r>
            <w:r w:rsidRPr="00C94273">
              <w:rPr>
                <w:sz w:val="20"/>
                <w:szCs w:val="20"/>
                <w:lang w:val="en-AU"/>
              </w:rPr>
              <w:t xml:space="preserve">: </w:t>
            </w:r>
            <w:r w:rsidR="00A23C16" w:rsidRPr="00C94273">
              <w:rPr>
                <w:sz w:val="20"/>
                <w:szCs w:val="20"/>
                <w:lang w:val="en-AU"/>
              </w:rPr>
              <w:t>“</w:t>
            </w:r>
            <w:r w:rsidRPr="00C94273">
              <w:rPr>
                <w:sz w:val="20"/>
                <w:szCs w:val="20"/>
                <w:lang w:val="en-AU"/>
              </w:rPr>
              <w:t>The Policy Brief explains why wetlands are important for disaster risk reduction and proposes a raft of recommendations and policy considerations to guide decision-makers integrate wetlands within their national disaster risk reduction plans and strategies</w:t>
            </w:r>
            <w:r w:rsidR="00A23C16" w:rsidRPr="00C94273">
              <w:rPr>
                <w:sz w:val="20"/>
                <w:szCs w:val="20"/>
                <w:lang w:val="en-AU"/>
              </w:rPr>
              <w:t>”</w:t>
            </w:r>
            <w:r w:rsidRPr="00C94273">
              <w:rPr>
                <w:sz w:val="20"/>
                <w:szCs w:val="20"/>
                <w:lang w:val="en-AU"/>
              </w:rPr>
              <w:t>.</w:t>
            </w:r>
          </w:p>
        </w:tc>
      </w:tr>
      <w:tr w:rsidR="008F5F6F" w:rsidRPr="00C94273" w:rsidTr="00762B18">
        <w:trPr>
          <w:cantSplit/>
        </w:trPr>
        <w:tc>
          <w:tcPr>
            <w:tcW w:w="3085" w:type="dxa"/>
          </w:tcPr>
          <w:p w:rsidR="00684AB3" w:rsidRPr="00C94273" w:rsidRDefault="001E728F" w:rsidP="001802FC">
            <w:pPr>
              <w:rPr>
                <w:sz w:val="20"/>
                <w:szCs w:val="20"/>
              </w:rPr>
            </w:pPr>
            <w:hyperlink r:id="rId90" w:history="1">
              <w:r w:rsidR="00684AB3" w:rsidRPr="00C94273">
                <w:rPr>
                  <w:rStyle w:val="Hyperlink"/>
                  <w:sz w:val="20"/>
                  <w:szCs w:val="20"/>
                </w:rPr>
                <w:t>Ramsar Policy Brief 2: Integrating multiple wetland values into decision-making</w:t>
              </w:r>
            </w:hyperlink>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Policymakers</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sz w:val="20"/>
                <w:szCs w:val="20"/>
              </w:rPr>
            </w:pPr>
            <w:r w:rsidRPr="00C94273">
              <w:rPr>
                <w:sz w:val="20"/>
                <w:szCs w:val="20"/>
              </w:rPr>
              <w:t>EFS</w:t>
            </w:r>
          </w:p>
        </w:tc>
        <w:tc>
          <w:tcPr>
            <w:tcW w:w="5044" w:type="dxa"/>
          </w:tcPr>
          <w:p w:rsidR="00684AB3" w:rsidRPr="00C94273" w:rsidRDefault="00684AB3" w:rsidP="001802FC">
            <w:pPr>
              <w:rPr>
                <w:sz w:val="20"/>
                <w:szCs w:val="20"/>
              </w:rPr>
            </w:pPr>
            <w:r w:rsidRPr="00C94273">
              <w:rPr>
                <w:sz w:val="20"/>
                <w:szCs w:val="20"/>
                <w:u w:val="single"/>
                <w:lang w:val="en-AU"/>
              </w:rPr>
              <w:t>Summary</w:t>
            </w:r>
            <w:r w:rsidRPr="00C94273">
              <w:rPr>
                <w:sz w:val="20"/>
                <w:szCs w:val="20"/>
                <w:lang w:val="en-AU"/>
              </w:rPr>
              <w:t xml:space="preserve">: </w:t>
            </w:r>
            <w:r w:rsidR="00A23C16" w:rsidRPr="00C94273">
              <w:rPr>
                <w:sz w:val="20"/>
                <w:szCs w:val="20"/>
                <w:lang w:val="en-AU"/>
              </w:rPr>
              <w:t>“</w:t>
            </w:r>
            <w:r w:rsidRPr="00C94273">
              <w:rPr>
                <w:sz w:val="20"/>
                <w:szCs w:val="20"/>
              </w:rPr>
              <w:t>The Policy Brief aims to support policy-makers by informing and facilitating the integration of the multiple values of wetlands across sectors, supported by improved valuation studies, to enhance the relevance and impact of policies</w:t>
            </w:r>
            <w:r w:rsidR="00A23C16" w:rsidRPr="00C94273">
              <w:rPr>
                <w:sz w:val="20"/>
                <w:szCs w:val="20"/>
              </w:rPr>
              <w:t>”</w:t>
            </w:r>
            <w:r w:rsidRPr="00C94273">
              <w:rPr>
                <w:sz w:val="20"/>
                <w:szCs w:val="20"/>
              </w:rPr>
              <w:t>.</w:t>
            </w:r>
          </w:p>
        </w:tc>
      </w:tr>
      <w:tr w:rsidR="00F93D80" w:rsidRPr="00C94273" w:rsidTr="0043685F">
        <w:trPr>
          <w:cantSplit/>
        </w:trPr>
        <w:tc>
          <w:tcPr>
            <w:tcW w:w="0" w:type="auto"/>
            <w:gridSpan w:val="6"/>
            <w:shd w:val="clear" w:color="auto" w:fill="FDE9D9" w:themeFill="accent6" w:themeFillTint="33"/>
          </w:tcPr>
          <w:p w:rsidR="00947298" w:rsidRPr="00C94273" w:rsidRDefault="00B74A29" w:rsidP="001802FC">
            <w:pPr>
              <w:rPr>
                <w:b/>
                <w:sz w:val="20"/>
                <w:szCs w:val="20"/>
              </w:rPr>
            </w:pPr>
            <w:r w:rsidRPr="00C94273">
              <w:rPr>
                <w:b/>
                <w:sz w:val="20"/>
                <w:szCs w:val="20"/>
              </w:rPr>
              <w:t>Up to 2015</w:t>
            </w:r>
          </w:p>
        </w:tc>
      </w:tr>
      <w:tr w:rsidR="008F5F6F" w:rsidRPr="00C94273" w:rsidTr="00762B18">
        <w:trPr>
          <w:cantSplit/>
        </w:trPr>
        <w:tc>
          <w:tcPr>
            <w:tcW w:w="3085" w:type="dxa"/>
          </w:tcPr>
          <w:p w:rsidR="00684AB3" w:rsidRPr="00C94273" w:rsidRDefault="001E728F" w:rsidP="001802FC">
            <w:pPr>
              <w:rPr>
                <w:rFonts w:cs="Arial"/>
                <w:sz w:val="20"/>
                <w:szCs w:val="20"/>
              </w:rPr>
            </w:pPr>
            <w:hyperlink r:id="rId91" w:history="1">
              <w:r w:rsidR="00684AB3" w:rsidRPr="00C94273">
                <w:rPr>
                  <w:rStyle w:val="Hyperlink"/>
                  <w:sz w:val="20"/>
                  <w:szCs w:val="20"/>
                </w:rPr>
                <w:t>Resolution XI.13: An Integrated Framework for linking wetland conservation and wise use with poverty eradication</w:t>
              </w:r>
            </w:hyperlink>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 xml:space="preserve">Policymakers </w:t>
            </w:r>
          </w:p>
        </w:tc>
        <w:tc>
          <w:tcPr>
            <w:tcW w:w="1355" w:type="dxa"/>
          </w:tcPr>
          <w:p w:rsidR="00684AB3" w:rsidRPr="00C94273" w:rsidRDefault="00684AB3" w:rsidP="001802FC">
            <w:pPr>
              <w:rPr>
                <w:rFonts w:cs="Arial"/>
                <w:sz w:val="20"/>
                <w:szCs w:val="20"/>
              </w:rPr>
            </w:pPr>
            <w:r w:rsidRPr="00C94273">
              <w:rPr>
                <w:rFonts w:cs="Arial"/>
                <w:sz w:val="20"/>
                <w:szCs w:val="20"/>
              </w:rPr>
              <w:t>Not yet included in a Handbook</w:t>
            </w:r>
          </w:p>
        </w:tc>
        <w:tc>
          <w:tcPr>
            <w:tcW w:w="1288" w:type="dxa"/>
          </w:tcPr>
          <w:p w:rsidR="00684AB3" w:rsidRPr="00C94273" w:rsidRDefault="00684AB3" w:rsidP="001802FC">
            <w:pPr>
              <w:rPr>
                <w:rFonts w:cs="Arial"/>
                <w:sz w:val="20"/>
                <w:szCs w:val="20"/>
              </w:rPr>
            </w:pPr>
            <w:r w:rsidRPr="00C94273">
              <w:rPr>
                <w:sz w:val="20"/>
                <w:szCs w:val="20"/>
              </w:rPr>
              <w:t>EFS</w:t>
            </w:r>
          </w:p>
        </w:tc>
        <w:tc>
          <w:tcPr>
            <w:tcW w:w="5044" w:type="dxa"/>
          </w:tcPr>
          <w:p w:rsidR="00684AB3" w:rsidRPr="00C94273" w:rsidRDefault="00684AB3" w:rsidP="001802FC">
            <w:pPr>
              <w:rPr>
                <w:sz w:val="20"/>
                <w:szCs w:val="20"/>
              </w:rPr>
            </w:pPr>
          </w:p>
        </w:tc>
      </w:tr>
      <w:tr w:rsidR="008F5F6F" w:rsidRPr="00C94273" w:rsidTr="00762B18">
        <w:trPr>
          <w:cantSplit/>
        </w:trPr>
        <w:tc>
          <w:tcPr>
            <w:tcW w:w="3085" w:type="dxa"/>
          </w:tcPr>
          <w:p w:rsidR="00684AB3" w:rsidRPr="00C94273" w:rsidRDefault="001E728F" w:rsidP="001802FC">
            <w:pPr>
              <w:rPr>
                <w:rFonts w:cs="Arial"/>
                <w:sz w:val="20"/>
                <w:szCs w:val="20"/>
              </w:rPr>
            </w:pPr>
            <w:hyperlink r:id="rId92" w:history="1">
              <w:r w:rsidR="00684AB3" w:rsidRPr="00C94273">
                <w:rPr>
                  <w:rStyle w:val="Hyperlink"/>
                  <w:sz w:val="20"/>
                  <w:szCs w:val="20"/>
                </w:rPr>
                <w:t>Resolution VIII.19: Guiding principles for taking into account the cultural values of wetlands for the effective management of sites</w:t>
              </w:r>
            </w:hyperlink>
            <w:r w:rsidR="00684AB3" w:rsidRPr="00C94273">
              <w:rPr>
                <w:rStyle w:val="Hyperlink"/>
                <w:sz w:val="20"/>
                <w:szCs w:val="20"/>
              </w:rPr>
              <w:t xml:space="preserve">   </w:t>
            </w:r>
          </w:p>
        </w:tc>
        <w:tc>
          <w:tcPr>
            <w:tcW w:w="1276" w:type="dxa"/>
          </w:tcPr>
          <w:p w:rsidR="00684AB3" w:rsidRPr="00C94273" w:rsidRDefault="00684AB3" w:rsidP="001802FC">
            <w:pPr>
              <w:rPr>
                <w:rFonts w:cs="Arial"/>
                <w:sz w:val="20"/>
                <w:szCs w:val="20"/>
              </w:rPr>
            </w:pPr>
            <w:r w:rsidRPr="00C94273">
              <w:rPr>
                <w:rFonts w:cs="Arial"/>
                <w:sz w:val="20"/>
                <w:szCs w:val="20"/>
              </w:rPr>
              <w:t xml:space="preserve">Technical </w:t>
            </w:r>
          </w:p>
        </w:tc>
        <w:tc>
          <w:tcPr>
            <w:tcW w:w="2126" w:type="dxa"/>
          </w:tcPr>
          <w:p w:rsidR="00684AB3" w:rsidRPr="00C94273" w:rsidRDefault="00684AB3" w:rsidP="001802FC">
            <w:pPr>
              <w:rPr>
                <w:rFonts w:cs="Arial"/>
                <w:sz w:val="20"/>
                <w:szCs w:val="20"/>
              </w:rPr>
            </w:pPr>
            <w:r w:rsidRPr="00C94273">
              <w:rPr>
                <w:rFonts w:cs="Arial"/>
                <w:sz w:val="20"/>
                <w:szCs w:val="20"/>
              </w:rPr>
              <w:t>Practitioners</w:t>
            </w:r>
          </w:p>
        </w:tc>
        <w:tc>
          <w:tcPr>
            <w:tcW w:w="1355" w:type="dxa"/>
          </w:tcPr>
          <w:p w:rsidR="00684AB3" w:rsidRPr="00C94273" w:rsidRDefault="00684AB3" w:rsidP="001802FC">
            <w:pPr>
              <w:rPr>
                <w:rFonts w:cs="Arial"/>
                <w:sz w:val="20"/>
                <w:szCs w:val="20"/>
              </w:rPr>
            </w:pPr>
            <w:r w:rsidRPr="00C94273">
              <w:rPr>
                <w:rFonts w:cs="Arial"/>
                <w:sz w:val="20"/>
                <w:szCs w:val="20"/>
              </w:rPr>
              <w:t>18</w:t>
            </w:r>
          </w:p>
        </w:tc>
        <w:tc>
          <w:tcPr>
            <w:tcW w:w="1288" w:type="dxa"/>
          </w:tcPr>
          <w:p w:rsidR="00684AB3" w:rsidRPr="00C94273" w:rsidRDefault="00684AB3" w:rsidP="001802FC">
            <w:pPr>
              <w:rPr>
                <w:rFonts w:cs="Arial"/>
                <w:sz w:val="20"/>
                <w:szCs w:val="20"/>
              </w:rPr>
            </w:pPr>
            <w:r w:rsidRPr="00C94273">
              <w:rPr>
                <w:sz w:val="20"/>
                <w:szCs w:val="20"/>
              </w:rPr>
              <w:t>EFS</w:t>
            </w:r>
          </w:p>
        </w:tc>
        <w:tc>
          <w:tcPr>
            <w:tcW w:w="5044" w:type="dxa"/>
          </w:tcPr>
          <w:p w:rsidR="00684AB3" w:rsidRPr="00C94273" w:rsidRDefault="00684AB3" w:rsidP="001802FC">
            <w:pPr>
              <w:rPr>
                <w:sz w:val="20"/>
                <w:szCs w:val="20"/>
              </w:rPr>
            </w:pPr>
          </w:p>
        </w:tc>
      </w:tr>
      <w:tr w:rsidR="008F5F6F" w:rsidRPr="00C94273" w:rsidTr="00762B18">
        <w:trPr>
          <w:cantSplit/>
        </w:trPr>
        <w:tc>
          <w:tcPr>
            <w:tcW w:w="3085" w:type="dxa"/>
          </w:tcPr>
          <w:p w:rsidR="00684AB3" w:rsidRPr="00C94273" w:rsidRDefault="001E728F" w:rsidP="001802FC">
            <w:pPr>
              <w:rPr>
                <w:sz w:val="20"/>
                <w:szCs w:val="20"/>
              </w:rPr>
            </w:pPr>
            <w:hyperlink r:id="rId93" w:history="1">
              <w:r w:rsidR="00684AB3" w:rsidRPr="00C94273">
                <w:rPr>
                  <w:rStyle w:val="Hyperlink"/>
                  <w:sz w:val="20"/>
                  <w:szCs w:val="20"/>
                </w:rPr>
                <w:t xml:space="preserve">Ramsar Technical Report No. 3: Valuing wetlands: Guidance for valuing the benefits derived from wetland ecosystem services </w:t>
              </w:r>
            </w:hyperlink>
          </w:p>
        </w:tc>
        <w:tc>
          <w:tcPr>
            <w:tcW w:w="1276" w:type="dxa"/>
          </w:tcPr>
          <w:p w:rsidR="00684AB3" w:rsidRPr="00C94273" w:rsidRDefault="001802FC" w:rsidP="001802FC">
            <w:pPr>
              <w:rPr>
                <w:rFonts w:cs="Arial"/>
                <w:sz w:val="20"/>
                <w:szCs w:val="20"/>
              </w:rPr>
            </w:pPr>
            <w:r w:rsidRPr="00C94273">
              <w:rPr>
                <w:rFonts w:cs="Arial"/>
                <w:sz w:val="20"/>
                <w:szCs w:val="20"/>
              </w:rPr>
              <w:t>Scientific / technical</w:t>
            </w:r>
            <w:r w:rsidR="00684AB3" w:rsidRPr="00C94273">
              <w:rPr>
                <w:rFonts w:cs="Arial"/>
                <w:sz w:val="20"/>
                <w:szCs w:val="20"/>
              </w:rPr>
              <w:t xml:space="preserve"> </w:t>
            </w:r>
          </w:p>
        </w:tc>
        <w:tc>
          <w:tcPr>
            <w:tcW w:w="2126" w:type="dxa"/>
          </w:tcPr>
          <w:p w:rsidR="00684AB3" w:rsidRPr="00C94273" w:rsidRDefault="001802FC" w:rsidP="001802FC">
            <w:pPr>
              <w:rPr>
                <w:rFonts w:cs="Arial"/>
                <w:sz w:val="20"/>
                <w:szCs w:val="20"/>
              </w:rPr>
            </w:pPr>
            <w:r w:rsidRPr="00C94273">
              <w:rPr>
                <w:rFonts w:cs="Arial"/>
                <w:sz w:val="20"/>
                <w:szCs w:val="20"/>
              </w:rPr>
              <w:t>Scientists / practitioners</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sz w:val="20"/>
                <w:szCs w:val="20"/>
              </w:rPr>
            </w:pPr>
            <w:r w:rsidRPr="00C94273">
              <w:rPr>
                <w:sz w:val="20"/>
                <w:szCs w:val="20"/>
              </w:rPr>
              <w:t>EFS</w:t>
            </w:r>
          </w:p>
        </w:tc>
        <w:tc>
          <w:tcPr>
            <w:tcW w:w="5044" w:type="dxa"/>
          </w:tcPr>
          <w:p w:rsidR="00684AB3" w:rsidRPr="00C94273" w:rsidRDefault="00684AB3" w:rsidP="001802FC">
            <w:pPr>
              <w:rPr>
                <w:sz w:val="20"/>
                <w:szCs w:val="20"/>
              </w:rPr>
            </w:pPr>
            <w:r w:rsidRPr="00C94273">
              <w:rPr>
                <w:sz w:val="20"/>
                <w:szCs w:val="20"/>
                <w:u w:val="single"/>
              </w:rPr>
              <w:t>Summary:</w:t>
            </w:r>
            <w:r w:rsidRPr="00C94273">
              <w:rPr>
                <w:sz w:val="20"/>
                <w:szCs w:val="20"/>
              </w:rPr>
              <w:t xml:space="preserve"> “This report outlines a framework which should assist readers to conduct an integrated assessment of wetland ecosystem services, and it sets out five key steps in undertaking a wetland valuation assessment. . . . This guidance is supplemented by case studies from around the world of where different aspects of wetland valuation have supported decision-making, and by sources of further information on wetland valuation.”</w:t>
            </w:r>
          </w:p>
        </w:tc>
      </w:tr>
      <w:tr w:rsidR="008F5F6F" w:rsidRPr="00C94273" w:rsidTr="00762B18">
        <w:trPr>
          <w:cantSplit/>
        </w:trPr>
        <w:tc>
          <w:tcPr>
            <w:tcW w:w="3085" w:type="dxa"/>
          </w:tcPr>
          <w:p w:rsidR="00684AB3" w:rsidRPr="00C94273" w:rsidRDefault="001E728F" w:rsidP="001802FC">
            <w:pPr>
              <w:rPr>
                <w:sz w:val="20"/>
                <w:szCs w:val="20"/>
              </w:rPr>
            </w:pPr>
            <w:hyperlink r:id="rId94" w:history="1">
              <w:r w:rsidR="00684AB3" w:rsidRPr="00C94273">
                <w:rPr>
                  <w:rStyle w:val="Hyperlink"/>
                  <w:sz w:val="20"/>
                  <w:szCs w:val="20"/>
                </w:rPr>
                <w:t>Ramsar Technical Report No. 6: Healthy wetlands, healthy people: A review of wetlands and human health interactions</w:t>
              </w:r>
            </w:hyperlink>
          </w:p>
        </w:tc>
        <w:tc>
          <w:tcPr>
            <w:tcW w:w="1276" w:type="dxa"/>
          </w:tcPr>
          <w:p w:rsidR="00684AB3" w:rsidRPr="00C94273" w:rsidRDefault="001802FC" w:rsidP="001802FC">
            <w:pPr>
              <w:rPr>
                <w:rFonts w:cs="Arial"/>
                <w:sz w:val="20"/>
                <w:szCs w:val="20"/>
              </w:rPr>
            </w:pPr>
            <w:r w:rsidRPr="00C94273">
              <w:rPr>
                <w:rFonts w:cs="Arial"/>
                <w:sz w:val="20"/>
                <w:szCs w:val="20"/>
              </w:rPr>
              <w:t>Scientific / technical</w:t>
            </w:r>
            <w:r w:rsidR="00684AB3" w:rsidRPr="00C94273">
              <w:rPr>
                <w:rFonts w:cs="Arial"/>
                <w:sz w:val="20"/>
                <w:szCs w:val="20"/>
              </w:rPr>
              <w:t xml:space="preserve"> </w:t>
            </w:r>
          </w:p>
        </w:tc>
        <w:tc>
          <w:tcPr>
            <w:tcW w:w="2126" w:type="dxa"/>
          </w:tcPr>
          <w:p w:rsidR="00684AB3" w:rsidRPr="00C94273" w:rsidRDefault="001802FC" w:rsidP="001802FC">
            <w:pPr>
              <w:rPr>
                <w:rFonts w:cs="Arial"/>
                <w:sz w:val="20"/>
                <w:szCs w:val="20"/>
              </w:rPr>
            </w:pPr>
            <w:r w:rsidRPr="00C94273">
              <w:rPr>
                <w:rFonts w:cs="Arial"/>
                <w:sz w:val="20"/>
                <w:szCs w:val="20"/>
              </w:rPr>
              <w:t>Scientists / practitioners</w:t>
            </w:r>
            <w:r w:rsidR="00684AB3" w:rsidRPr="00C94273">
              <w:rPr>
                <w:rFonts w:cs="Arial"/>
                <w:sz w:val="20"/>
                <w:szCs w:val="20"/>
              </w:rPr>
              <w:t xml:space="preserve"> </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sz w:val="20"/>
                <w:szCs w:val="20"/>
              </w:rPr>
            </w:pPr>
            <w:r w:rsidRPr="00C94273">
              <w:rPr>
                <w:sz w:val="20"/>
                <w:szCs w:val="20"/>
              </w:rPr>
              <w:t>E</w:t>
            </w:r>
          </w:p>
        </w:tc>
        <w:tc>
          <w:tcPr>
            <w:tcW w:w="5044" w:type="dxa"/>
          </w:tcPr>
          <w:p w:rsidR="00684AB3" w:rsidRPr="00C94273" w:rsidRDefault="00684AB3" w:rsidP="001802FC">
            <w:pPr>
              <w:rPr>
                <w:sz w:val="20"/>
                <w:szCs w:val="20"/>
                <w:lang w:val="en-AU"/>
              </w:rPr>
            </w:pPr>
            <w:r w:rsidRPr="00C94273">
              <w:rPr>
                <w:sz w:val="20"/>
                <w:szCs w:val="20"/>
                <w:u w:val="single"/>
                <w:lang w:val="en-AU"/>
              </w:rPr>
              <w:t>Summary:</w:t>
            </w:r>
            <w:r w:rsidRPr="00C94273">
              <w:rPr>
                <w:sz w:val="20"/>
                <w:szCs w:val="20"/>
                <w:lang w:val="en-AU"/>
              </w:rPr>
              <w:t xml:space="preserve"> “The purpose of this review report is to provide an accessible source of information to help improve understanding of the often complex inter-relationships between wetland ecosystems and human health and wellbeing. The primary audience for this report is intended to be wetland conservation and wise use practitioners, from wetland managers at the site level to decision makers at national and international levels. The information in the report should help in facilitating dialogue between wetlands and human health professionals in their respective efforts to maintain and improve wetland ecological character and people’s health.”</w:t>
            </w:r>
          </w:p>
        </w:tc>
      </w:tr>
      <w:tr w:rsidR="008F5F6F" w:rsidRPr="00C94273" w:rsidTr="00762B18">
        <w:trPr>
          <w:cantSplit/>
        </w:trPr>
        <w:tc>
          <w:tcPr>
            <w:tcW w:w="3085" w:type="dxa"/>
          </w:tcPr>
          <w:p w:rsidR="00684AB3" w:rsidRPr="00C94273" w:rsidRDefault="001E728F" w:rsidP="001802FC">
            <w:pPr>
              <w:rPr>
                <w:rFonts w:cs="Arial"/>
                <w:sz w:val="20"/>
                <w:szCs w:val="20"/>
              </w:rPr>
            </w:pPr>
            <w:hyperlink r:id="rId95" w:history="1">
              <w:r w:rsidR="00684AB3" w:rsidRPr="00C94273">
                <w:rPr>
                  <w:rStyle w:val="Hyperlink"/>
                  <w:sz w:val="20"/>
                  <w:szCs w:val="20"/>
                </w:rPr>
                <w:t>Culture and wetlands: a Ramsar guidance document. Related to Resolutions VIII.19. Guiding principles for taking into account the cultural values of wetlands for the effective management of sites and IX.21 Taking into account the cultural values of wetlands</w:t>
              </w:r>
            </w:hyperlink>
            <w:r w:rsidR="00684AB3" w:rsidRPr="00C94273">
              <w:rPr>
                <w:sz w:val="20"/>
                <w:szCs w:val="20"/>
              </w:rPr>
              <w:t xml:space="preserve"> </w:t>
            </w:r>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 xml:space="preserve">Practitioners </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rFonts w:cs="Arial"/>
                <w:sz w:val="20"/>
                <w:szCs w:val="20"/>
              </w:rPr>
            </w:pPr>
            <w:r w:rsidRPr="00C94273">
              <w:rPr>
                <w:sz w:val="20"/>
                <w:szCs w:val="20"/>
              </w:rPr>
              <w:t>EFS</w:t>
            </w:r>
          </w:p>
        </w:tc>
        <w:tc>
          <w:tcPr>
            <w:tcW w:w="5044" w:type="dxa"/>
          </w:tcPr>
          <w:p w:rsidR="00684AB3" w:rsidRPr="00C94273" w:rsidRDefault="00684AB3" w:rsidP="001802FC">
            <w:pPr>
              <w:rPr>
                <w:sz w:val="20"/>
                <w:szCs w:val="20"/>
              </w:rPr>
            </w:pPr>
            <w:r w:rsidRPr="00C94273">
              <w:rPr>
                <w:sz w:val="20"/>
                <w:szCs w:val="20"/>
                <w:u w:val="single"/>
              </w:rPr>
              <w:t>Summary:</w:t>
            </w:r>
            <w:r w:rsidRPr="00C94273">
              <w:rPr>
                <w:sz w:val="20"/>
                <w:szCs w:val="20"/>
              </w:rPr>
              <w:t xml:space="preserve"> “[T]he document provides the reader with an overview of the concept of incorporating cultural aspects in the work of the Ramsar Convention, and in particular in the management of wetlands, through the approval of Resolutions VIII.19 and IX.21 and the work of the Culture Working Group towards the development of guidance.”</w:t>
            </w:r>
          </w:p>
        </w:tc>
      </w:tr>
      <w:tr w:rsidR="008F5F6F" w:rsidRPr="00C94273" w:rsidTr="00762B18">
        <w:trPr>
          <w:cantSplit/>
        </w:trPr>
        <w:tc>
          <w:tcPr>
            <w:tcW w:w="3085" w:type="dxa"/>
          </w:tcPr>
          <w:p w:rsidR="00684AB3" w:rsidRPr="00C94273" w:rsidRDefault="00684AB3" w:rsidP="001802FC">
            <w:pPr>
              <w:rPr>
                <w:sz w:val="20"/>
                <w:szCs w:val="20"/>
              </w:rPr>
            </w:pPr>
            <w:r w:rsidRPr="00C94273">
              <w:rPr>
                <w:rFonts w:cs="Arial"/>
                <w:sz w:val="20"/>
                <w:szCs w:val="20"/>
              </w:rPr>
              <w:lastRenderedPageBreak/>
              <w:t xml:space="preserve">Economic Valuation of Wetlands: a Guide for Policy Makers and Planners (Publication, Ramsar 1997)  </w:t>
            </w:r>
          </w:p>
        </w:tc>
        <w:tc>
          <w:tcPr>
            <w:tcW w:w="1276" w:type="dxa"/>
          </w:tcPr>
          <w:p w:rsidR="00684AB3" w:rsidRPr="00C94273" w:rsidRDefault="00684AB3" w:rsidP="001802FC">
            <w:pPr>
              <w:rPr>
                <w:rFonts w:cs="Arial"/>
                <w:sz w:val="20"/>
                <w:szCs w:val="20"/>
              </w:rPr>
            </w:pPr>
            <w:r w:rsidRPr="00C94273">
              <w:rPr>
                <w:rFonts w:cs="Arial"/>
                <w:sz w:val="20"/>
                <w:szCs w:val="20"/>
              </w:rPr>
              <w:t>Technical</w:t>
            </w:r>
          </w:p>
        </w:tc>
        <w:tc>
          <w:tcPr>
            <w:tcW w:w="2126" w:type="dxa"/>
          </w:tcPr>
          <w:p w:rsidR="00684AB3" w:rsidRPr="00C94273" w:rsidRDefault="00684AB3" w:rsidP="001802FC">
            <w:pPr>
              <w:rPr>
                <w:rFonts w:cs="Arial"/>
                <w:sz w:val="20"/>
                <w:szCs w:val="20"/>
              </w:rPr>
            </w:pPr>
            <w:r w:rsidRPr="00C94273">
              <w:rPr>
                <w:rFonts w:cs="Arial"/>
                <w:sz w:val="20"/>
                <w:szCs w:val="20"/>
              </w:rPr>
              <w:t>Policymakers</w:t>
            </w:r>
            <w:r w:rsidR="001802FC" w:rsidRPr="00C94273">
              <w:rPr>
                <w:rFonts w:cs="Arial"/>
                <w:sz w:val="20"/>
                <w:szCs w:val="20"/>
              </w:rPr>
              <w:t xml:space="preserve"> </w:t>
            </w:r>
            <w:r w:rsidRPr="00C94273">
              <w:rPr>
                <w:rFonts w:cs="Arial"/>
                <w:sz w:val="20"/>
                <w:szCs w:val="20"/>
              </w:rPr>
              <w:t>/</w:t>
            </w:r>
            <w:r w:rsidR="001802FC" w:rsidRPr="00C94273">
              <w:rPr>
                <w:rFonts w:cs="Arial"/>
                <w:sz w:val="20"/>
                <w:szCs w:val="20"/>
              </w:rPr>
              <w:t xml:space="preserve"> p</w:t>
            </w:r>
            <w:r w:rsidRPr="00C94273">
              <w:rPr>
                <w:rFonts w:cs="Arial"/>
                <w:sz w:val="20"/>
                <w:szCs w:val="20"/>
              </w:rPr>
              <w:t>ractitioners</w:t>
            </w:r>
          </w:p>
        </w:tc>
        <w:tc>
          <w:tcPr>
            <w:tcW w:w="1355" w:type="dxa"/>
          </w:tcPr>
          <w:p w:rsidR="00684AB3" w:rsidRPr="00C94273" w:rsidRDefault="00684AB3" w:rsidP="001802FC">
            <w:pPr>
              <w:rPr>
                <w:rFonts w:cs="Arial"/>
                <w:sz w:val="20"/>
                <w:szCs w:val="20"/>
              </w:rPr>
            </w:pPr>
          </w:p>
        </w:tc>
        <w:tc>
          <w:tcPr>
            <w:tcW w:w="1288" w:type="dxa"/>
          </w:tcPr>
          <w:p w:rsidR="00684AB3" w:rsidRPr="00C94273" w:rsidRDefault="00684AB3" w:rsidP="001802FC">
            <w:pPr>
              <w:rPr>
                <w:sz w:val="20"/>
                <w:szCs w:val="20"/>
              </w:rPr>
            </w:pPr>
            <w:r w:rsidRPr="00C94273">
              <w:rPr>
                <w:rFonts w:cs="Arial"/>
                <w:sz w:val="20"/>
                <w:szCs w:val="20"/>
              </w:rPr>
              <w:t>EFS</w:t>
            </w:r>
          </w:p>
        </w:tc>
        <w:tc>
          <w:tcPr>
            <w:tcW w:w="5044" w:type="dxa"/>
          </w:tcPr>
          <w:p w:rsidR="00684AB3" w:rsidRPr="00C94273" w:rsidRDefault="00684AB3" w:rsidP="001802FC">
            <w:pPr>
              <w:rPr>
                <w:sz w:val="20"/>
                <w:szCs w:val="20"/>
              </w:rPr>
            </w:pPr>
          </w:p>
        </w:tc>
      </w:tr>
      <w:tr w:rsidR="00F93D80" w:rsidRPr="00C94273" w:rsidTr="00E602AE">
        <w:trPr>
          <w:cantSplit/>
        </w:trPr>
        <w:tc>
          <w:tcPr>
            <w:tcW w:w="0" w:type="auto"/>
            <w:gridSpan w:val="6"/>
            <w:shd w:val="clear" w:color="auto" w:fill="F2F2F2" w:themeFill="background1" w:themeFillShade="F2"/>
          </w:tcPr>
          <w:p w:rsidR="00684AB3" w:rsidRPr="00C94273" w:rsidRDefault="00684AB3" w:rsidP="001802FC">
            <w:pPr>
              <w:jc w:val="center"/>
              <w:rPr>
                <w:b/>
                <w:sz w:val="20"/>
                <w:szCs w:val="20"/>
              </w:rPr>
            </w:pPr>
            <w:r w:rsidRPr="00C94273">
              <w:rPr>
                <w:b/>
                <w:sz w:val="20"/>
                <w:szCs w:val="20"/>
              </w:rPr>
              <w:t>Other guidance</w:t>
            </w:r>
          </w:p>
        </w:tc>
      </w:tr>
      <w:tr w:rsidR="00F93D80" w:rsidRPr="00C94273" w:rsidTr="0043685F">
        <w:trPr>
          <w:cantSplit/>
        </w:trPr>
        <w:tc>
          <w:tcPr>
            <w:tcW w:w="0" w:type="auto"/>
            <w:gridSpan w:val="6"/>
            <w:shd w:val="clear" w:color="auto" w:fill="FDE9D9" w:themeFill="accent6" w:themeFillTint="33"/>
          </w:tcPr>
          <w:p w:rsidR="00B74A29" w:rsidRPr="00C94273" w:rsidRDefault="00B74A29" w:rsidP="001802FC">
            <w:pPr>
              <w:rPr>
                <w:sz w:val="20"/>
                <w:szCs w:val="20"/>
              </w:rPr>
            </w:pPr>
            <w:r w:rsidRPr="00C94273">
              <w:rPr>
                <w:b/>
                <w:sz w:val="20"/>
                <w:szCs w:val="20"/>
                <w:lang w:val="en-AU"/>
              </w:rPr>
              <w:t>2016-2019 update</w:t>
            </w:r>
          </w:p>
        </w:tc>
      </w:tr>
      <w:tr w:rsidR="008F5F6F" w:rsidRPr="00C94273" w:rsidTr="00762B18">
        <w:trPr>
          <w:cantSplit/>
        </w:trPr>
        <w:tc>
          <w:tcPr>
            <w:tcW w:w="3085" w:type="dxa"/>
          </w:tcPr>
          <w:p w:rsidR="0020282F" w:rsidRPr="00C94273" w:rsidRDefault="001E728F" w:rsidP="001802FC">
            <w:pPr>
              <w:rPr>
                <w:sz w:val="20"/>
                <w:szCs w:val="20"/>
              </w:rPr>
            </w:pPr>
            <w:hyperlink r:id="rId96" w:history="1">
              <w:r w:rsidR="0020282F" w:rsidRPr="00C94273">
                <w:rPr>
                  <w:rStyle w:val="Hyperlink"/>
                  <w:sz w:val="20"/>
                  <w:szCs w:val="20"/>
                </w:rPr>
                <w:t>Assessment Report on Land Degradation and Restoration</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assessment </w:t>
            </w:r>
            <w:r w:rsidR="00A23C16" w:rsidRPr="00C94273">
              <w:rPr>
                <w:sz w:val="20"/>
                <w:szCs w:val="20"/>
              </w:rPr>
              <w:t>“</w:t>
            </w:r>
            <w:r w:rsidRPr="00C94273">
              <w:rPr>
                <w:sz w:val="20"/>
                <w:szCs w:val="20"/>
              </w:rPr>
              <w:t>provides a critical analysis of the state of knowledge regarding the importance, drivers, status, and trends of terrestrial ecosystems</w:t>
            </w:r>
            <w:r w:rsidR="00A23C16" w:rsidRPr="00C94273">
              <w:rPr>
                <w:sz w:val="20"/>
                <w:szCs w:val="20"/>
              </w:rPr>
              <w:t>”</w:t>
            </w:r>
            <w:r w:rsidRPr="00C94273">
              <w:rPr>
                <w:sz w:val="20"/>
                <w:szCs w:val="20"/>
              </w:rPr>
              <w:t>.</w:t>
            </w:r>
          </w:p>
        </w:tc>
      </w:tr>
      <w:tr w:rsidR="008F5F6F" w:rsidRPr="00C94273" w:rsidTr="00762B18">
        <w:trPr>
          <w:cantSplit/>
        </w:trPr>
        <w:tc>
          <w:tcPr>
            <w:tcW w:w="3085" w:type="dxa"/>
          </w:tcPr>
          <w:p w:rsidR="0020282F" w:rsidRPr="00C94273" w:rsidRDefault="001E728F" w:rsidP="001802FC">
            <w:pPr>
              <w:rPr>
                <w:sz w:val="20"/>
                <w:szCs w:val="20"/>
              </w:rPr>
            </w:pPr>
            <w:hyperlink r:id="rId97" w:history="1">
              <w:r w:rsidR="0020282F" w:rsidRPr="00C94273">
                <w:rPr>
                  <w:rStyle w:val="Hyperlink"/>
                  <w:sz w:val="20"/>
                  <w:szCs w:val="20"/>
                </w:rPr>
                <w:t>Assessment Report on Pollinators, Pollination and Food Production</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 (summary for policymakers available in EFSR</w:t>
            </w:r>
            <w:r w:rsidR="00A10917" w:rsidRPr="00C94273">
              <w:rPr>
                <w:sz w:val="20"/>
                <w:szCs w:val="20"/>
              </w:rPr>
              <w:t>A</w:t>
            </w:r>
            <w:r w:rsidRPr="00C94273">
              <w:rPr>
                <w:sz w:val="20"/>
                <w:szCs w:val="20"/>
              </w:rPr>
              <w:t>C)</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00D023F2" w:rsidRPr="00C94273">
              <w:rPr>
                <w:sz w:val="20"/>
                <w:szCs w:val="20"/>
              </w:rPr>
              <w:t xml:space="preserve">: </w:t>
            </w:r>
            <w:r w:rsidRPr="00C94273">
              <w:rPr>
                <w:sz w:val="20"/>
                <w:szCs w:val="20"/>
              </w:rPr>
              <w:t xml:space="preserve">The thematic assessment </w:t>
            </w:r>
            <w:r w:rsidR="00A23C16" w:rsidRPr="00C94273">
              <w:rPr>
                <w:sz w:val="20"/>
                <w:szCs w:val="20"/>
              </w:rPr>
              <w:t>“</w:t>
            </w:r>
            <w:r w:rsidRPr="00C94273">
              <w:rPr>
                <w:sz w:val="20"/>
                <w:szCs w:val="20"/>
              </w:rPr>
              <w:t>aims to assess animal pollination as a regulating ecosystem service underpinning food production in the context of its contribution to nature’s gifts to people and supporting a good quality of life</w:t>
            </w:r>
            <w:r w:rsidR="00A23C16" w:rsidRPr="00C94273">
              <w:rPr>
                <w:sz w:val="20"/>
                <w:szCs w:val="20"/>
              </w:rPr>
              <w:t>”</w:t>
            </w:r>
            <w:r w:rsidRPr="00C94273">
              <w:rPr>
                <w:sz w:val="20"/>
                <w:szCs w:val="20"/>
              </w:rPr>
              <w:t>.</w:t>
            </w:r>
          </w:p>
          <w:p w:rsidR="0020282F" w:rsidRPr="00C94273" w:rsidRDefault="0020282F" w:rsidP="001802FC">
            <w:pPr>
              <w:rPr>
                <w:sz w:val="20"/>
                <w:szCs w:val="20"/>
              </w:rPr>
            </w:pPr>
          </w:p>
        </w:tc>
      </w:tr>
      <w:tr w:rsidR="008F5F6F" w:rsidRPr="00C94273" w:rsidTr="00762B18">
        <w:trPr>
          <w:cantSplit/>
        </w:trPr>
        <w:tc>
          <w:tcPr>
            <w:tcW w:w="3085" w:type="dxa"/>
          </w:tcPr>
          <w:p w:rsidR="0020282F" w:rsidRPr="00C94273" w:rsidRDefault="001E728F" w:rsidP="001802FC">
            <w:pPr>
              <w:rPr>
                <w:sz w:val="20"/>
                <w:szCs w:val="20"/>
              </w:rPr>
            </w:pPr>
            <w:hyperlink r:id="rId98" w:history="1">
              <w:r w:rsidR="0020282F" w:rsidRPr="00C94273">
                <w:rPr>
                  <w:rStyle w:val="Hyperlink"/>
                  <w:sz w:val="20"/>
                  <w:szCs w:val="20"/>
                </w:rPr>
                <w:t>The methodological assessment report on scenarios and models of biodiversity and ecosystem services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r w:rsidR="00A10917" w:rsidRPr="00C94273">
              <w:rPr>
                <w:sz w:val="20"/>
                <w:szCs w:val="20"/>
              </w:rPr>
              <w:t xml:space="preserve"> (summary for policymakers available in EFSRAC)</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D023F2" w:rsidP="001802FC">
            <w:pPr>
              <w:rPr>
                <w:sz w:val="20"/>
                <w:szCs w:val="20"/>
              </w:rPr>
            </w:pPr>
            <w:r w:rsidRPr="00C94273">
              <w:rPr>
                <w:sz w:val="20"/>
                <w:szCs w:val="20"/>
              </w:rPr>
              <w:t xml:space="preserve">Summary: </w:t>
            </w:r>
            <w:r w:rsidR="0020282F" w:rsidRPr="00C94273">
              <w:rPr>
                <w:sz w:val="20"/>
                <w:szCs w:val="20"/>
              </w:rPr>
              <w:t xml:space="preserve">The assessment </w:t>
            </w:r>
            <w:r w:rsidR="00A23C16" w:rsidRPr="00C94273">
              <w:rPr>
                <w:sz w:val="20"/>
                <w:szCs w:val="20"/>
              </w:rPr>
              <w:t>“</w:t>
            </w:r>
            <w:r w:rsidR="0020282F" w:rsidRPr="00C94273">
              <w:rPr>
                <w:sz w:val="20"/>
                <w:szCs w:val="20"/>
              </w:rPr>
              <w:t>provides guidance for the use of scenarios and models for experts performing assessments within IPBES, as well as to scientists and other stakeholders and decision makers</w:t>
            </w:r>
            <w:r w:rsidR="00A23C16" w:rsidRPr="00C94273">
              <w:rPr>
                <w:sz w:val="20"/>
                <w:szCs w:val="20"/>
              </w:rPr>
              <w:t>”</w:t>
            </w:r>
            <w:r w:rsidR="0020282F" w:rsidRPr="00C94273">
              <w:rPr>
                <w:sz w:val="20"/>
                <w:szCs w:val="20"/>
              </w:rPr>
              <w:t>.</w:t>
            </w:r>
          </w:p>
        </w:tc>
      </w:tr>
      <w:tr w:rsidR="008F5F6F" w:rsidRPr="00C94273" w:rsidTr="00762B18">
        <w:trPr>
          <w:cantSplit/>
        </w:trPr>
        <w:tc>
          <w:tcPr>
            <w:tcW w:w="3085" w:type="dxa"/>
          </w:tcPr>
          <w:p w:rsidR="0020282F" w:rsidRPr="00C94273" w:rsidRDefault="001E728F" w:rsidP="001802FC">
            <w:pPr>
              <w:rPr>
                <w:sz w:val="20"/>
                <w:szCs w:val="20"/>
              </w:rPr>
            </w:pPr>
            <w:hyperlink r:id="rId99" w:history="1">
              <w:r w:rsidR="0020282F" w:rsidRPr="00C94273">
                <w:rPr>
                  <w:rStyle w:val="Hyperlink"/>
                  <w:sz w:val="20"/>
                  <w:szCs w:val="20"/>
                </w:rPr>
                <w:t>Regional Assessment Report on Biodiversity and Ecosystem Services for Africa</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r w:rsidR="007A3A64" w:rsidRPr="00C94273">
              <w:rPr>
                <w:sz w:val="20"/>
                <w:szCs w:val="20"/>
              </w:rPr>
              <w:t xml:space="preserve"> (summary for policymakers available in EFSRAC)</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Pr="00C94273">
              <w:rPr>
                <w:sz w:val="20"/>
                <w:szCs w:val="20"/>
              </w:rPr>
              <w:t>:</w:t>
            </w:r>
            <w:r w:rsidR="00D023F2" w:rsidRPr="00C94273">
              <w:rPr>
                <w:sz w:val="20"/>
                <w:szCs w:val="20"/>
              </w:rPr>
              <w:t xml:space="preserve"> </w:t>
            </w:r>
            <w:r w:rsidRPr="00C94273">
              <w:rPr>
                <w:sz w:val="20"/>
                <w:szCs w:val="20"/>
              </w:rPr>
              <w:t xml:space="preserve">The assessment </w:t>
            </w:r>
            <w:r w:rsidR="00A23C16" w:rsidRPr="00C94273">
              <w:rPr>
                <w:sz w:val="20"/>
                <w:szCs w:val="20"/>
              </w:rPr>
              <w:t>“</w:t>
            </w:r>
            <w:r w:rsidRPr="00C94273">
              <w:rPr>
                <w:sz w:val="20"/>
                <w:szCs w:val="20"/>
              </w:rPr>
              <w:t>provides a critical analysis of the state of knowledge regarding the importance, status, and trends of biodiversity and nature’s contributions to people</w:t>
            </w:r>
            <w:r w:rsidR="00A23C16" w:rsidRPr="00C94273">
              <w:rPr>
                <w:sz w:val="20"/>
                <w:szCs w:val="20"/>
              </w:rPr>
              <w:t>”</w:t>
            </w:r>
            <w:r w:rsidRPr="00C94273">
              <w:rPr>
                <w:sz w:val="20"/>
                <w:szCs w:val="20"/>
              </w:rPr>
              <w:t>.</w:t>
            </w:r>
          </w:p>
        </w:tc>
      </w:tr>
      <w:tr w:rsidR="008F5F6F" w:rsidRPr="00C94273" w:rsidTr="00762B18">
        <w:trPr>
          <w:cantSplit/>
        </w:trPr>
        <w:tc>
          <w:tcPr>
            <w:tcW w:w="3085" w:type="dxa"/>
          </w:tcPr>
          <w:p w:rsidR="0020282F" w:rsidRPr="00C94273" w:rsidRDefault="001E728F" w:rsidP="001802FC">
            <w:pPr>
              <w:rPr>
                <w:sz w:val="20"/>
                <w:szCs w:val="20"/>
              </w:rPr>
            </w:pPr>
            <w:hyperlink r:id="rId100" w:history="1">
              <w:r w:rsidR="0020282F" w:rsidRPr="00C94273">
                <w:rPr>
                  <w:rStyle w:val="Hyperlink"/>
                  <w:sz w:val="20"/>
                  <w:szCs w:val="20"/>
                </w:rPr>
                <w:t>Regional Assessment Report on Biodiversity and Ecosystem Services for the Americas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Pr="00C94273">
              <w:rPr>
                <w:sz w:val="20"/>
                <w:szCs w:val="20"/>
              </w:rPr>
              <w:t>:</w:t>
            </w:r>
            <w:r w:rsidR="00D023F2" w:rsidRPr="00C94273">
              <w:rPr>
                <w:sz w:val="20"/>
                <w:szCs w:val="20"/>
              </w:rPr>
              <w:t xml:space="preserve"> </w:t>
            </w:r>
            <w:r w:rsidRPr="00C94273">
              <w:rPr>
                <w:sz w:val="20"/>
                <w:szCs w:val="20"/>
              </w:rPr>
              <w:t xml:space="preserve">The assessment </w:t>
            </w:r>
            <w:r w:rsidR="00A23C16" w:rsidRPr="00C94273">
              <w:rPr>
                <w:sz w:val="20"/>
                <w:szCs w:val="20"/>
              </w:rPr>
              <w:t>“</w:t>
            </w:r>
            <w:r w:rsidRPr="00C94273">
              <w:rPr>
                <w:sz w:val="20"/>
                <w:szCs w:val="20"/>
              </w:rPr>
              <w:t>provides a critical analysis of the state of knowledge regarding the importance, status, and trends of biodiversity and nature’s contributions to people</w:t>
            </w:r>
            <w:r w:rsidR="00A23C16" w:rsidRPr="00C94273">
              <w:rPr>
                <w:sz w:val="20"/>
                <w:szCs w:val="20"/>
              </w:rPr>
              <w:t>”</w:t>
            </w:r>
            <w:r w:rsidRPr="00C94273">
              <w:rPr>
                <w:sz w:val="20"/>
                <w:szCs w:val="20"/>
              </w:rPr>
              <w:t>.</w:t>
            </w:r>
          </w:p>
        </w:tc>
      </w:tr>
      <w:tr w:rsidR="008F5F6F" w:rsidRPr="00C94273" w:rsidTr="00762B18">
        <w:trPr>
          <w:cantSplit/>
        </w:trPr>
        <w:tc>
          <w:tcPr>
            <w:tcW w:w="3085" w:type="dxa"/>
          </w:tcPr>
          <w:p w:rsidR="0020282F" w:rsidRPr="00C94273" w:rsidRDefault="001E728F" w:rsidP="001802FC">
            <w:pPr>
              <w:rPr>
                <w:sz w:val="20"/>
                <w:szCs w:val="20"/>
              </w:rPr>
            </w:pPr>
            <w:hyperlink r:id="rId101" w:history="1">
              <w:r w:rsidR="0020282F" w:rsidRPr="00C94273">
                <w:rPr>
                  <w:rStyle w:val="Hyperlink"/>
                  <w:sz w:val="20"/>
                  <w:szCs w:val="20"/>
                </w:rPr>
                <w:t>Regional Assessment Report on Biodiversity and Ecosystem Services for Asia and the Pacific</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r w:rsidR="007A3A64" w:rsidRPr="00C94273">
              <w:rPr>
                <w:sz w:val="20"/>
                <w:szCs w:val="20"/>
              </w:rPr>
              <w:t xml:space="preserve"> (summary for policymakers available in EFSRAC)</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00D023F2" w:rsidRPr="00C94273">
              <w:rPr>
                <w:sz w:val="20"/>
                <w:szCs w:val="20"/>
              </w:rPr>
              <w:t>: The</w:t>
            </w:r>
            <w:r w:rsidRPr="00C94273">
              <w:rPr>
                <w:sz w:val="20"/>
                <w:szCs w:val="20"/>
              </w:rPr>
              <w:t xml:space="preserve"> assessment </w:t>
            </w:r>
            <w:r w:rsidR="00A23C16" w:rsidRPr="00C94273">
              <w:rPr>
                <w:sz w:val="20"/>
                <w:szCs w:val="20"/>
              </w:rPr>
              <w:t>“</w:t>
            </w:r>
            <w:r w:rsidRPr="00C94273">
              <w:rPr>
                <w:sz w:val="20"/>
                <w:szCs w:val="20"/>
              </w:rPr>
              <w:t>provides a critical analysis of the state of knowledge regarding the importance, status, and trends of biodiversity and nature’s contributions to people</w:t>
            </w:r>
            <w:r w:rsidR="00A23C16" w:rsidRPr="00C94273">
              <w:rPr>
                <w:sz w:val="20"/>
                <w:szCs w:val="20"/>
              </w:rPr>
              <w:t>”</w:t>
            </w:r>
            <w:r w:rsidRPr="00C94273">
              <w:rPr>
                <w:sz w:val="20"/>
                <w:szCs w:val="20"/>
              </w:rPr>
              <w:t>.</w:t>
            </w:r>
          </w:p>
        </w:tc>
      </w:tr>
      <w:tr w:rsidR="008F5F6F" w:rsidRPr="00C94273" w:rsidTr="00762B18">
        <w:trPr>
          <w:cantSplit/>
        </w:trPr>
        <w:tc>
          <w:tcPr>
            <w:tcW w:w="3085" w:type="dxa"/>
          </w:tcPr>
          <w:p w:rsidR="0020282F" w:rsidRPr="00C94273" w:rsidRDefault="001E728F" w:rsidP="001802FC">
            <w:pPr>
              <w:rPr>
                <w:sz w:val="20"/>
                <w:szCs w:val="20"/>
              </w:rPr>
            </w:pPr>
            <w:hyperlink r:id="rId102" w:history="1">
              <w:r w:rsidR="0020282F" w:rsidRPr="00C94273">
                <w:rPr>
                  <w:rStyle w:val="Hyperlink"/>
                  <w:sz w:val="20"/>
                  <w:szCs w:val="20"/>
                </w:rPr>
                <w:t>Regional Assessment Report on Biodiversity and Ecosystem Services for Europe and Central Asia</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rPr>
            </w:pPr>
            <w:r w:rsidRPr="00C94273">
              <w:rPr>
                <w:sz w:val="20"/>
                <w:szCs w:val="20"/>
              </w:rPr>
              <w:t>E</w:t>
            </w:r>
          </w:p>
        </w:tc>
        <w:tc>
          <w:tcPr>
            <w:tcW w:w="5044" w:type="dxa"/>
          </w:tcPr>
          <w:p w:rsidR="0020282F" w:rsidRPr="00C94273" w:rsidRDefault="0020282F" w:rsidP="001802FC">
            <w:pPr>
              <w:rPr>
                <w:sz w:val="20"/>
                <w:szCs w:val="20"/>
              </w:rPr>
            </w:pPr>
            <w:r w:rsidRPr="00C94273">
              <w:rPr>
                <w:sz w:val="20"/>
                <w:szCs w:val="20"/>
              </w:rPr>
              <w:t>IPBES</w:t>
            </w:r>
          </w:p>
          <w:p w:rsidR="0020282F" w:rsidRPr="00C94273" w:rsidRDefault="0020282F" w:rsidP="001802FC">
            <w:pPr>
              <w:rPr>
                <w:sz w:val="20"/>
                <w:szCs w:val="20"/>
              </w:rPr>
            </w:pPr>
            <w:r w:rsidRPr="00C94273">
              <w:rPr>
                <w:sz w:val="20"/>
                <w:szCs w:val="20"/>
                <w:u w:val="single"/>
              </w:rPr>
              <w:t>Summary</w:t>
            </w:r>
            <w:r w:rsidRPr="00C94273">
              <w:rPr>
                <w:sz w:val="20"/>
                <w:szCs w:val="20"/>
              </w:rPr>
              <w:t>:</w:t>
            </w:r>
            <w:r w:rsidR="00D023F2" w:rsidRPr="00C94273">
              <w:rPr>
                <w:sz w:val="20"/>
                <w:szCs w:val="20"/>
              </w:rPr>
              <w:t xml:space="preserve"> </w:t>
            </w:r>
            <w:r w:rsidRPr="00C94273">
              <w:rPr>
                <w:sz w:val="20"/>
                <w:szCs w:val="20"/>
              </w:rPr>
              <w:t xml:space="preserve">The assessment </w:t>
            </w:r>
            <w:r w:rsidR="00A23C16" w:rsidRPr="00C94273">
              <w:rPr>
                <w:sz w:val="20"/>
                <w:szCs w:val="20"/>
              </w:rPr>
              <w:t>“</w:t>
            </w:r>
            <w:r w:rsidRPr="00C94273">
              <w:rPr>
                <w:sz w:val="20"/>
                <w:szCs w:val="20"/>
              </w:rPr>
              <w:t>provides a critical analysis of the state of knowledge regarding the importance, status, and trends of biodiversity and nature’s contributions to people</w:t>
            </w:r>
            <w:r w:rsidR="00A23C16" w:rsidRPr="00C94273">
              <w:rPr>
                <w:sz w:val="20"/>
                <w:szCs w:val="20"/>
              </w:rPr>
              <w:t>”</w:t>
            </w:r>
            <w:r w:rsidRPr="00C94273">
              <w:rPr>
                <w:sz w:val="20"/>
                <w:szCs w:val="20"/>
              </w:rPr>
              <w:t>.</w:t>
            </w:r>
          </w:p>
        </w:tc>
      </w:tr>
      <w:tr w:rsidR="008F5F6F" w:rsidRPr="00C94273" w:rsidTr="00762B18">
        <w:trPr>
          <w:cantSplit/>
        </w:trPr>
        <w:tc>
          <w:tcPr>
            <w:tcW w:w="3085" w:type="dxa"/>
          </w:tcPr>
          <w:p w:rsidR="008853D9" w:rsidRPr="00C94273" w:rsidRDefault="001E728F" w:rsidP="001802FC">
            <w:pPr>
              <w:rPr>
                <w:sz w:val="20"/>
                <w:szCs w:val="20"/>
              </w:rPr>
            </w:pPr>
            <w:hyperlink r:id="rId103" w:history="1">
              <w:r w:rsidR="00385CCE" w:rsidRPr="00C94273">
                <w:rPr>
                  <w:rStyle w:val="Hyperlink"/>
                  <w:sz w:val="20"/>
                  <w:szCs w:val="20"/>
                </w:rPr>
                <w:t>Helping nature help us - Transforming disaster risk reduction through ecosystem management</w:t>
              </w:r>
            </w:hyperlink>
          </w:p>
        </w:tc>
        <w:tc>
          <w:tcPr>
            <w:tcW w:w="1276" w:type="dxa"/>
          </w:tcPr>
          <w:p w:rsidR="008853D9" w:rsidRPr="00C94273" w:rsidRDefault="008853D9" w:rsidP="001802FC">
            <w:pPr>
              <w:rPr>
                <w:rFonts w:cs="Arial"/>
                <w:sz w:val="20"/>
                <w:szCs w:val="20"/>
              </w:rPr>
            </w:pPr>
          </w:p>
        </w:tc>
        <w:tc>
          <w:tcPr>
            <w:tcW w:w="2126" w:type="dxa"/>
          </w:tcPr>
          <w:p w:rsidR="008853D9" w:rsidRPr="00C94273" w:rsidRDefault="008853D9" w:rsidP="001802FC">
            <w:pPr>
              <w:rPr>
                <w:rFonts w:cs="Arial"/>
                <w:sz w:val="20"/>
                <w:szCs w:val="20"/>
              </w:rPr>
            </w:pPr>
          </w:p>
        </w:tc>
        <w:tc>
          <w:tcPr>
            <w:tcW w:w="1355" w:type="dxa"/>
          </w:tcPr>
          <w:p w:rsidR="008853D9" w:rsidRPr="00C94273" w:rsidRDefault="008853D9" w:rsidP="001802FC">
            <w:pPr>
              <w:rPr>
                <w:rFonts w:cs="Arial"/>
                <w:sz w:val="20"/>
                <w:szCs w:val="20"/>
              </w:rPr>
            </w:pPr>
          </w:p>
        </w:tc>
        <w:tc>
          <w:tcPr>
            <w:tcW w:w="1288" w:type="dxa"/>
          </w:tcPr>
          <w:p w:rsidR="008853D9" w:rsidRPr="00C94273" w:rsidRDefault="008853D9" w:rsidP="001802FC">
            <w:pPr>
              <w:rPr>
                <w:sz w:val="20"/>
                <w:szCs w:val="20"/>
              </w:rPr>
            </w:pPr>
            <w:r w:rsidRPr="00C94273">
              <w:rPr>
                <w:sz w:val="20"/>
                <w:szCs w:val="20"/>
              </w:rPr>
              <w:t>E</w:t>
            </w:r>
          </w:p>
        </w:tc>
        <w:tc>
          <w:tcPr>
            <w:tcW w:w="5044" w:type="dxa"/>
          </w:tcPr>
          <w:p w:rsidR="008853D9" w:rsidRPr="00C94273" w:rsidRDefault="008853D9" w:rsidP="001802FC">
            <w:pPr>
              <w:rPr>
                <w:sz w:val="20"/>
                <w:szCs w:val="20"/>
              </w:rPr>
            </w:pPr>
            <w:r w:rsidRPr="00C94273">
              <w:rPr>
                <w:sz w:val="20"/>
                <w:szCs w:val="20"/>
              </w:rPr>
              <w:t>IUCN</w:t>
            </w:r>
          </w:p>
          <w:p w:rsidR="008853D9" w:rsidRPr="00C94273" w:rsidRDefault="008853D9" w:rsidP="001802FC">
            <w:pPr>
              <w:rPr>
                <w:sz w:val="20"/>
                <w:szCs w:val="20"/>
              </w:rPr>
            </w:pPr>
            <w:r w:rsidRPr="00C94273">
              <w:rPr>
                <w:sz w:val="20"/>
                <w:szCs w:val="20"/>
              </w:rPr>
              <w:t>Summary: “This publication documents the importance of biodiversity in disaster risk reduction and makes a case for the implementation of common approaches that contribute to both conservation and risk reduction. Assessments of regional experiences on Eco-DRR also highlight the opportunities and entry-points to scale-up integrated approaches”.</w:t>
            </w:r>
          </w:p>
        </w:tc>
      </w:tr>
      <w:tr w:rsidR="008F5F6F" w:rsidRPr="00C94273" w:rsidTr="00762B18">
        <w:trPr>
          <w:cantSplit/>
        </w:trPr>
        <w:tc>
          <w:tcPr>
            <w:tcW w:w="3085" w:type="dxa"/>
          </w:tcPr>
          <w:p w:rsidR="00E44448" w:rsidRPr="00C94273" w:rsidRDefault="001E728F" w:rsidP="001802FC">
            <w:pPr>
              <w:rPr>
                <w:sz w:val="20"/>
                <w:szCs w:val="20"/>
              </w:rPr>
            </w:pPr>
            <w:hyperlink r:id="rId104" w:history="1">
              <w:r w:rsidR="00E44448" w:rsidRPr="00C94273">
                <w:rPr>
                  <w:rStyle w:val="Hyperlink"/>
                  <w:sz w:val="20"/>
                  <w:szCs w:val="20"/>
                </w:rPr>
                <w:t>Landscapes, at your service: Applications of the Restoration Opportunities Optimization Tool (ROOT)</w:t>
              </w:r>
            </w:hyperlink>
          </w:p>
        </w:tc>
        <w:tc>
          <w:tcPr>
            <w:tcW w:w="1276" w:type="dxa"/>
          </w:tcPr>
          <w:p w:rsidR="00E44448" w:rsidRPr="00C94273" w:rsidRDefault="00E44448" w:rsidP="001802FC">
            <w:pPr>
              <w:rPr>
                <w:rFonts w:cs="Arial"/>
                <w:sz w:val="20"/>
                <w:szCs w:val="20"/>
              </w:rPr>
            </w:pPr>
          </w:p>
        </w:tc>
        <w:tc>
          <w:tcPr>
            <w:tcW w:w="2126" w:type="dxa"/>
          </w:tcPr>
          <w:p w:rsidR="00E44448" w:rsidRPr="00C94273" w:rsidRDefault="00E44448" w:rsidP="001802FC">
            <w:pPr>
              <w:rPr>
                <w:rFonts w:cs="Arial"/>
                <w:sz w:val="20"/>
                <w:szCs w:val="20"/>
              </w:rPr>
            </w:pPr>
          </w:p>
        </w:tc>
        <w:tc>
          <w:tcPr>
            <w:tcW w:w="1355" w:type="dxa"/>
          </w:tcPr>
          <w:p w:rsidR="00E44448" w:rsidRPr="00C94273" w:rsidRDefault="00E44448" w:rsidP="001802FC">
            <w:pPr>
              <w:rPr>
                <w:rFonts w:cs="Arial"/>
                <w:sz w:val="20"/>
                <w:szCs w:val="20"/>
              </w:rPr>
            </w:pPr>
          </w:p>
        </w:tc>
        <w:tc>
          <w:tcPr>
            <w:tcW w:w="1288" w:type="dxa"/>
          </w:tcPr>
          <w:p w:rsidR="00E44448" w:rsidRPr="00C94273" w:rsidRDefault="00E44448" w:rsidP="001802FC">
            <w:pPr>
              <w:rPr>
                <w:sz w:val="20"/>
                <w:szCs w:val="20"/>
              </w:rPr>
            </w:pPr>
            <w:r w:rsidRPr="00C94273">
              <w:rPr>
                <w:sz w:val="20"/>
                <w:szCs w:val="20"/>
              </w:rPr>
              <w:t>E</w:t>
            </w:r>
          </w:p>
        </w:tc>
        <w:tc>
          <w:tcPr>
            <w:tcW w:w="5044" w:type="dxa"/>
          </w:tcPr>
          <w:p w:rsidR="00E44448" w:rsidRPr="00C94273" w:rsidRDefault="00E44448" w:rsidP="001802FC">
            <w:pPr>
              <w:rPr>
                <w:sz w:val="20"/>
                <w:szCs w:val="20"/>
              </w:rPr>
            </w:pPr>
            <w:r w:rsidRPr="00C94273">
              <w:rPr>
                <w:sz w:val="20"/>
                <w:szCs w:val="20"/>
              </w:rPr>
              <w:t>IUCN</w:t>
            </w:r>
          </w:p>
          <w:p w:rsidR="00E44448" w:rsidRPr="00C94273" w:rsidRDefault="00E44448" w:rsidP="001802FC">
            <w:pPr>
              <w:rPr>
                <w:sz w:val="20"/>
                <w:szCs w:val="20"/>
              </w:rPr>
            </w:pPr>
            <w:r w:rsidRPr="00C94273">
              <w:rPr>
                <w:sz w:val="20"/>
                <w:szCs w:val="20"/>
              </w:rPr>
              <w:t xml:space="preserve">Summary: </w:t>
            </w:r>
            <w:r w:rsidR="00B210B6" w:rsidRPr="00C94273">
              <w:rPr>
                <w:sz w:val="20"/>
                <w:szCs w:val="20"/>
              </w:rPr>
              <w:t>The case</w:t>
            </w:r>
            <w:r w:rsidRPr="00C94273">
              <w:rPr>
                <w:sz w:val="20"/>
                <w:szCs w:val="20"/>
              </w:rPr>
              <w:t xml:space="preserve"> studies in this document demonstrate examples of the practical applicability of ROOT in different contexts, using ROOT in several different ways.</w:t>
            </w:r>
          </w:p>
        </w:tc>
      </w:tr>
      <w:tr w:rsidR="008F5F6F" w:rsidRPr="00C94273" w:rsidTr="00762B18">
        <w:trPr>
          <w:cantSplit/>
        </w:trPr>
        <w:tc>
          <w:tcPr>
            <w:tcW w:w="3085" w:type="dxa"/>
          </w:tcPr>
          <w:p w:rsidR="000678C6" w:rsidRPr="00C94273" w:rsidRDefault="001E728F" w:rsidP="001802FC">
            <w:pPr>
              <w:rPr>
                <w:sz w:val="20"/>
                <w:szCs w:val="20"/>
              </w:rPr>
            </w:pPr>
            <w:hyperlink r:id="rId105" w:history="1">
              <w:r w:rsidR="00385CCE" w:rsidRPr="00C94273">
                <w:rPr>
                  <w:rStyle w:val="Hyperlink"/>
                  <w:sz w:val="20"/>
                  <w:szCs w:val="20"/>
                </w:rPr>
                <w:t>Tools for measuring, modelling, and valuing ecosystem services : Guidance for Key Biodiversity Areas, natural World Heritage sites, and protected areas</w:t>
              </w:r>
            </w:hyperlink>
          </w:p>
        </w:tc>
        <w:tc>
          <w:tcPr>
            <w:tcW w:w="1276" w:type="dxa"/>
          </w:tcPr>
          <w:p w:rsidR="000678C6" w:rsidRPr="00C94273" w:rsidRDefault="000678C6" w:rsidP="001802FC">
            <w:pPr>
              <w:rPr>
                <w:rFonts w:cs="Arial"/>
                <w:sz w:val="20"/>
                <w:szCs w:val="20"/>
              </w:rPr>
            </w:pPr>
          </w:p>
        </w:tc>
        <w:tc>
          <w:tcPr>
            <w:tcW w:w="2126" w:type="dxa"/>
          </w:tcPr>
          <w:p w:rsidR="000678C6" w:rsidRPr="00C94273" w:rsidRDefault="000678C6" w:rsidP="001802FC">
            <w:pPr>
              <w:rPr>
                <w:rFonts w:cs="Arial"/>
                <w:sz w:val="20"/>
                <w:szCs w:val="20"/>
              </w:rPr>
            </w:pPr>
          </w:p>
        </w:tc>
        <w:tc>
          <w:tcPr>
            <w:tcW w:w="1355" w:type="dxa"/>
          </w:tcPr>
          <w:p w:rsidR="000678C6" w:rsidRPr="00C94273" w:rsidRDefault="000678C6" w:rsidP="001802FC">
            <w:pPr>
              <w:rPr>
                <w:rFonts w:cs="Arial"/>
                <w:sz w:val="20"/>
                <w:szCs w:val="20"/>
              </w:rPr>
            </w:pPr>
          </w:p>
        </w:tc>
        <w:tc>
          <w:tcPr>
            <w:tcW w:w="1288" w:type="dxa"/>
          </w:tcPr>
          <w:p w:rsidR="000678C6" w:rsidRPr="00C94273" w:rsidRDefault="00E04405" w:rsidP="001802FC">
            <w:pPr>
              <w:rPr>
                <w:sz w:val="20"/>
                <w:szCs w:val="20"/>
              </w:rPr>
            </w:pPr>
            <w:r w:rsidRPr="00C94273">
              <w:rPr>
                <w:sz w:val="20"/>
                <w:szCs w:val="20"/>
              </w:rPr>
              <w:t>E</w:t>
            </w:r>
          </w:p>
        </w:tc>
        <w:tc>
          <w:tcPr>
            <w:tcW w:w="5044" w:type="dxa"/>
          </w:tcPr>
          <w:p w:rsidR="000678C6" w:rsidRPr="00C94273" w:rsidRDefault="000678C6" w:rsidP="001802FC">
            <w:pPr>
              <w:rPr>
                <w:sz w:val="20"/>
                <w:szCs w:val="20"/>
              </w:rPr>
            </w:pPr>
            <w:r w:rsidRPr="00C94273">
              <w:rPr>
                <w:sz w:val="20"/>
                <w:szCs w:val="20"/>
              </w:rPr>
              <w:t>IUCN</w:t>
            </w:r>
          </w:p>
          <w:p w:rsidR="000678C6" w:rsidRPr="00C94273" w:rsidRDefault="000678C6" w:rsidP="001802FC">
            <w:pPr>
              <w:rPr>
                <w:sz w:val="20"/>
                <w:szCs w:val="20"/>
              </w:rPr>
            </w:pPr>
            <w:r w:rsidRPr="00C94273">
              <w:rPr>
                <w:sz w:val="20"/>
                <w:szCs w:val="20"/>
              </w:rPr>
              <w:t>Summary: “</w:t>
            </w:r>
            <w:r w:rsidR="00E04405" w:rsidRPr="00C94273">
              <w:rPr>
                <w:sz w:val="20"/>
                <w:szCs w:val="20"/>
              </w:rPr>
              <w:t>This document provides guidance for practitioners on existing tools that can be applied to measure or model ES provided by important sites for biodiversity and nature conservation, including Key Biodiversity Areas (KBAs), natural World Heritage sites (WHS), and protected areas (PAs)”.</w:t>
            </w:r>
          </w:p>
        </w:tc>
      </w:tr>
      <w:tr w:rsidR="00F93D80" w:rsidRPr="00C94273" w:rsidTr="0043685F">
        <w:trPr>
          <w:cantSplit/>
        </w:trPr>
        <w:tc>
          <w:tcPr>
            <w:tcW w:w="0" w:type="auto"/>
            <w:gridSpan w:val="6"/>
            <w:shd w:val="clear" w:color="auto" w:fill="FDE9D9" w:themeFill="accent6" w:themeFillTint="33"/>
          </w:tcPr>
          <w:p w:rsidR="00B74A29" w:rsidRPr="00C94273" w:rsidRDefault="00B74A29" w:rsidP="001802FC">
            <w:pPr>
              <w:rPr>
                <w:b/>
                <w:sz w:val="20"/>
                <w:szCs w:val="20"/>
              </w:rPr>
            </w:pPr>
            <w:r w:rsidRPr="00C94273">
              <w:rPr>
                <w:b/>
                <w:sz w:val="20"/>
                <w:szCs w:val="20"/>
              </w:rPr>
              <w:t>Up to 2015</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06" w:history="1">
              <w:r w:rsidR="0020282F" w:rsidRPr="00C94273">
                <w:rPr>
                  <w:rStyle w:val="Hyperlink"/>
                  <w:sz w:val="20"/>
                  <w:szCs w:val="20"/>
                </w:rPr>
                <w:t>Toolkit for Ecosystem Service Site-based Assessments (TESSA)</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p>
        </w:tc>
        <w:tc>
          <w:tcPr>
            <w:tcW w:w="5044" w:type="dxa"/>
          </w:tcPr>
          <w:p w:rsidR="0020282F" w:rsidRPr="00C94273" w:rsidRDefault="0020282F" w:rsidP="001802FC">
            <w:pPr>
              <w:rPr>
                <w:sz w:val="20"/>
                <w:szCs w:val="20"/>
              </w:rPr>
            </w:pPr>
            <w:proofErr w:type="spellStart"/>
            <w:r w:rsidRPr="00C94273">
              <w:rPr>
                <w:sz w:val="20"/>
                <w:szCs w:val="20"/>
              </w:rPr>
              <w:t>BirdLife</w:t>
            </w:r>
            <w:proofErr w:type="spellEnd"/>
            <w:r w:rsidRPr="00C94273">
              <w:rPr>
                <w:sz w:val="20"/>
                <w:szCs w:val="20"/>
              </w:rPr>
              <w:t xml:space="preserve"> International</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toolkit provides accessible guidance on low-cost methods for how to evaluate the benefits people receive from nature at particular sites in order to generate information that can be used to influence decision making. TESSA is primarily aimed at conservation practitioners, although the methods may be applicable to a wide range of users, including natural resource managers (e.g. forestry, fisheries, water managers), land-use planners, development organisations (e.g. for poverty alleviation), and the private sector. . . . The toolkit includes [d]</w:t>
            </w:r>
            <w:proofErr w:type="spellStart"/>
            <w:r w:rsidRPr="00C94273">
              <w:rPr>
                <w:sz w:val="20"/>
                <w:szCs w:val="20"/>
              </w:rPr>
              <w:t>etails</w:t>
            </w:r>
            <w:proofErr w:type="spellEnd"/>
            <w:r w:rsidRPr="00C94273">
              <w:rPr>
                <w:sz w:val="20"/>
                <w:szCs w:val="20"/>
              </w:rPr>
              <w:t xml:space="preserve"> . . . for over 50 methods for assessing particular aspects of . . . ecosystem services . . . .”</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lang w:val="en-AU"/>
              </w:rPr>
            </w:pPr>
            <w:hyperlink r:id="rId107" w:history="1">
              <w:r w:rsidR="0020282F" w:rsidRPr="00C94273">
                <w:rPr>
                  <w:rStyle w:val="Hyperlink"/>
                  <w:sz w:val="20"/>
                  <w:szCs w:val="20"/>
                  <w:lang w:val="en-AU"/>
                </w:rPr>
                <w:t>Economic Values of Protected Areas: Guidelines for Protected Area Managers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sz w:val="20"/>
                <w:szCs w:val="20"/>
              </w:rPr>
              <w:t>ER</w:t>
            </w:r>
          </w:p>
        </w:tc>
        <w:tc>
          <w:tcPr>
            <w:tcW w:w="5044" w:type="dxa"/>
          </w:tcPr>
          <w:p w:rsidR="0020282F" w:rsidRPr="00C94273" w:rsidRDefault="0020282F" w:rsidP="001802FC">
            <w:pPr>
              <w:rPr>
                <w:sz w:val="20"/>
                <w:szCs w:val="20"/>
              </w:rPr>
            </w:pPr>
            <w:r w:rsidRPr="00C94273">
              <w:rPr>
                <w:sz w:val="20"/>
                <w:szCs w:val="20"/>
              </w:rPr>
              <w:t>IUCN</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aims of these Guidelines are: to introduce protected area managers to the concept and tools of economic valuation, and to demonstrate the potential uses of economic valuation for protected area financing and management.”</w:t>
            </w:r>
          </w:p>
        </w:tc>
      </w:tr>
      <w:tr w:rsidR="00E602AE" w:rsidRPr="00C94273" w:rsidTr="00762B18">
        <w:trPr>
          <w:cantSplit/>
        </w:trPr>
        <w:tc>
          <w:tcPr>
            <w:tcW w:w="3085" w:type="dxa"/>
          </w:tcPr>
          <w:p w:rsidR="0020282F" w:rsidRPr="00C94273" w:rsidRDefault="001E728F" w:rsidP="001802FC">
            <w:pPr>
              <w:rPr>
                <w:color w:val="FF0000"/>
                <w:sz w:val="20"/>
                <w:szCs w:val="20"/>
              </w:rPr>
            </w:pPr>
            <w:hyperlink r:id="rId108" w:history="1">
              <w:r w:rsidR="0020282F" w:rsidRPr="00C94273">
                <w:rPr>
                  <w:rStyle w:val="Hyperlink"/>
                  <w:sz w:val="20"/>
                  <w:szCs w:val="20"/>
                </w:rPr>
                <w:t>Wetland Resources Action Planning (WRAP) Toolkit</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sz w:val="20"/>
                <w:szCs w:val="20"/>
                <w:lang w:val="en-AU"/>
              </w:rPr>
            </w:pPr>
            <w:r w:rsidRPr="00C94273">
              <w:rPr>
                <w:sz w:val="20"/>
                <w:szCs w:val="20"/>
                <w:lang w:val="en-AU"/>
              </w:rPr>
              <w:t>E</w:t>
            </w:r>
          </w:p>
        </w:tc>
        <w:tc>
          <w:tcPr>
            <w:tcW w:w="5044" w:type="dxa"/>
          </w:tcPr>
          <w:p w:rsidR="0020282F" w:rsidRPr="00C94273" w:rsidRDefault="0020282F" w:rsidP="001802FC">
            <w:pPr>
              <w:rPr>
                <w:sz w:val="20"/>
                <w:szCs w:val="20"/>
                <w:lang w:val="en-AU"/>
              </w:rPr>
            </w:pPr>
            <w:r w:rsidRPr="00C94273">
              <w:rPr>
                <w:sz w:val="20"/>
                <w:szCs w:val="20"/>
                <w:lang w:val="en-AU"/>
              </w:rPr>
              <w:t>IUCN</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09" w:history="1">
              <w:r w:rsidR="0020282F" w:rsidRPr="00C94273">
                <w:rPr>
                  <w:rStyle w:val="Hyperlink"/>
                  <w:sz w:val="20"/>
                  <w:szCs w:val="20"/>
                  <w:lang w:val="en-AU"/>
                </w:rPr>
                <w:t>An Integrated Wetland Assessment Toolkit: A guide to good practice</w:t>
              </w:r>
            </w:hyperlink>
            <w:r w:rsidR="0020282F" w:rsidRPr="00C94273">
              <w:rPr>
                <w:rStyle w:val="Hyperlink"/>
                <w:sz w:val="20"/>
                <w:szCs w:val="20"/>
                <w:lang w:val="en-AU"/>
              </w:rPr>
              <w:t xml:space="preserve"> </w:t>
            </w:r>
            <w:hyperlink r:id="rId110" w:history="1">
              <w:r w:rsidR="0020282F" w:rsidRPr="00C94273">
                <w:rPr>
                  <w:rStyle w:val="Hyperlink"/>
                  <w:sz w:val="20"/>
                  <w:szCs w:val="20"/>
                </w:rPr>
                <w:t xml:space="preserve">+ Case study: An integrated assessment of the biodiversity, livelihood and economic value of wetlands in </w:t>
              </w:r>
              <w:proofErr w:type="spellStart"/>
              <w:r w:rsidR="0020282F" w:rsidRPr="00C94273">
                <w:rPr>
                  <w:rStyle w:val="Hyperlink"/>
                  <w:sz w:val="20"/>
                  <w:szCs w:val="20"/>
                </w:rPr>
                <w:t>Mtanza-Msona</w:t>
              </w:r>
              <w:proofErr w:type="spellEnd"/>
              <w:r w:rsidR="0020282F" w:rsidRPr="00C94273">
                <w:rPr>
                  <w:rStyle w:val="Hyperlink"/>
                  <w:sz w:val="20"/>
                  <w:szCs w:val="20"/>
                </w:rPr>
                <w:t xml:space="preserve"> village, Tanzania</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sz w:val="20"/>
                <w:szCs w:val="20"/>
                <w:lang w:val="en-AU"/>
              </w:rPr>
              <w:t>E</w:t>
            </w:r>
          </w:p>
        </w:tc>
        <w:tc>
          <w:tcPr>
            <w:tcW w:w="5044" w:type="dxa"/>
          </w:tcPr>
          <w:p w:rsidR="0020282F" w:rsidRPr="00C94273" w:rsidRDefault="0020282F" w:rsidP="001802FC">
            <w:pPr>
              <w:rPr>
                <w:sz w:val="20"/>
                <w:szCs w:val="20"/>
                <w:lang w:val="en-AU"/>
              </w:rPr>
            </w:pPr>
            <w:r w:rsidRPr="00C94273">
              <w:rPr>
                <w:sz w:val="20"/>
                <w:szCs w:val="20"/>
                <w:lang w:val="en-AU"/>
              </w:rPr>
              <w:t>IUCN</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“This toolkit sets out a process for integrated assessment and provides a set of methods that can be used to investigate the links between biodiversity, economics and livelihoods in wetlands, and to identify and address potential conflicts of interest between conservation and development objectives. The integrated approach presented in the toolkit also enables practitioners to assess a wetland in terms of its combined biodiversity, economic and livelihood values. It has a particular focus on strengthening pro-poor approaches to wetland management.”</w:t>
            </w:r>
          </w:p>
        </w:tc>
      </w:tr>
      <w:tr w:rsidR="00E602AE" w:rsidRPr="00C94273" w:rsidTr="00762B18">
        <w:trPr>
          <w:cantSplit/>
        </w:trPr>
        <w:tc>
          <w:tcPr>
            <w:tcW w:w="3085" w:type="dxa"/>
          </w:tcPr>
          <w:p w:rsidR="0020282F" w:rsidRPr="00C94273" w:rsidRDefault="001E728F" w:rsidP="001802FC">
            <w:pPr>
              <w:rPr>
                <w:sz w:val="20"/>
                <w:szCs w:val="20"/>
                <w:lang w:val="fr-FR"/>
              </w:rPr>
            </w:pPr>
            <w:hyperlink r:id="rId111" w:history="1">
              <w:r w:rsidR="0020282F" w:rsidRPr="00C94273">
                <w:rPr>
                  <w:rStyle w:val="Hyperlink"/>
                  <w:sz w:val="20"/>
                  <w:szCs w:val="20"/>
                  <w:lang w:val="fr-FR"/>
                </w:rPr>
                <w:t>Valeur économique de la vallée du Sourou : une évaluation préliminaire</w:t>
              </w:r>
            </w:hyperlink>
          </w:p>
        </w:tc>
        <w:tc>
          <w:tcPr>
            <w:tcW w:w="1276" w:type="dxa"/>
          </w:tcPr>
          <w:p w:rsidR="0020282F" w:rsidRPr="00C94273" w:rsidRDefault="0020282F" w:rsidP="001802FC">
            <w:pPr>
              <w:rPr>
                <w:rFonts w:cs="Arial"/>
                <w:sz w:val="20"/>
                <w:szCs w:val="20"/>
                <w:lang w:val="fr-FR"/>
              </w:rPr>
            </w:pPr>
          </w:p>
        </w:tc>
        <w:tc>
          <w:tcPr>
            <w:tcW w:w="2126" w:type="dxa"/>
          </w:tcPr>
          <w:p w:rsidR="0020282F" w:rsidRPr="00C94273" w:rsidRDefault="0020282F" w:rsidP="001802FC">
            <w:pPr>
              <w:rPr>
                <w:rFonts w:cs="Arial"/>
                <w:sz w:val="20"/>
                <w:szCs w:val="20"/>
                <w:lang w:val="fr-FR"/>
              </w:rPr>
            </w:pPr>
          </w:p>
        </w:tc>
        <w:tc>
          <w:tcPr>
            <w:tcW w:w="1355" w:type="dxa"/>
          </w:tcPr>
          <w:p w:rsidR="0020282F" w:rsidRPr="00C94273" w:rsidRDefault="0020282F" w:rsidP="001802FC">
            <w:pPr>
              <w:rPr>
                <w:rFonts w:cs="Arial"/>
                <w:sz w:val="20"/>
                <w:szCs w:val="20"/>
                <w:lang w:val="fr-FR"/>
              </w:rPr>
            </w:pPr>
          </w:p>
        </w:tc>
        <w:tc>
          <w:tcPr>
            <w:tcW w:w="1288" w:type="dxa"/>
          </w:tcPr>
          <w:p w:rsidR="0020282F" w:rsidRPr="00C94273" w:rsidRDefault="0020282F" w:rsidP="001802FC">
            <w:pPr>
              <w:rPr>
                <w:rFonts w:cs="Arial"/>
                <w:sz w:val="20"/>
                <w:szCs w:val="20"/>
                <w:lang w:val="fr-FR"/>
              </w:rPr>
            </w:pPr>
            <w:r w:rsidRPr="00C94273">
              <w:rPr>
                <w:rFonts w:cs="Arial"/>
                <w:sz w:val="20"/>
                <w:szCs w:val="20"/>
                <w:lang w:val="fr-FR"/>
              </w:rPr>
              <w:t>F</w:t>
            </w:r>
          </w:p>
        </w:tc>
        <w:tc>
          <w:tcPr>
            <w:tcW w:w="5044" w:type="dxa"/>
          </w:tcPr>
          <w:p w:rsidR="0020282F" w:rsidRPr="00C94273" w:rsidRDefault="0020282F" w:rsidP="001802FC">
            <w:pPr>
              <w:rPr>
                <w:sz w:val="20"/>
                <w:szCs w:val="20"/>
                <w:lang w:val="fr-FR"/>
              </w:rPr>
            </w:pPr>
            <w:r w:rsidRPr="00C94273">
              <w:rPr>
                <w:sz w:val="20"/>
                <w:szCs w:val="20"/>
                <w:lang w:val="fr-FR"/>
              </w:rPr>
              <w:t>IUCN</w:t>
            </w:r>
          </w:p>
        </w:tc>
      </w:tr>
      <w:tr w:rsidR="00E602AE" w:rsidRPr="00C94273" w:rsidTr="00762B18">
        <w:trPr>
          <w:cantSplit/>
        </w:trPr>
        <w:tc>
          <w:tcPr>
            <w:tcW w:w="3085" w:type="dxa"/>
          </w:tcPr>
          <w:p w:rsidR="0020282F" w:rsidRPr="00C94273" w:rsidRDefault="001E728F" w:rsidP="001802FC">
            <w:pPr>
              <w:rPr>
                <w:sz w:val="20"/>
                <w:szCs w:val="20"/>
                <w:lang w:val="es-ES"/>
              </w:rPr>
            </w:pPr>
            <w:hyperlink r:id="rId112" w:history="1">
              <w:r w:rsidR="0020282F" w:rsidRPr="00C94273">
                <w:rPr>
                  <w:rStyle w:val="Hyperlink"/>
                  <w:sz w:val="20"/>
                  <w:szCs w:val="20"/>
                  <w:lang w:val="es-ES"/>
                </w:rPr>
                <w:t>Diagnóstico de medios de vida y capitales de la comunidad de Humedales de Medio Queso, Los Chiles, Costa Rica</w:t>
              </w:r>
            </w:hyperlink>
          </w:p>
        </w:tc>
        <w:tc>
          <w:tcPr>
            <w:tcW w:w="1276" w:type="dxa"/>
          </w:tcPr>
          <w:p w:rsidR="0020282F" w:rsidRPr="00C94273" w:rsidRDefault="0020282F" w:rsidP="001802FC">
            <w:pPr>
              <w:rPr>
                <w:rFonts w:cs="Arial"/>
                <w:sz w:val="20"/>
                <w:szCs w:val="20"/>
                <w:lang w:val="es-ES"/>
              </w:rPr>
            </w:pPr>
          </w:p>
        </w:tc>
        <w:tc>
          <w:tcPr>
            <w:tcW w:w="2126" w:type="dxa"/>
          </w:tcPr>
          <w:p w:rsidR="0020282F" w:rsidRPr="00C94273" w:rsidRDefault="0020282F" w:rsidP="001802FC">
            <w:pPr>
              <w:rPr>
                <w:rFonts w:cs="Arial"/>
                <w:sz w:val="20"/>
                <w:szCs w:val="20"/>
                <w:lang w:val="es-ES"/>
              </w:rPr>
            </w:pPr>
          </w:p>
        </w:tc>
        <w:tc>
          <w:tcPr>
            <w:tcW w:w="1355" w:type="dxa"/>
          </w:tcPr>
          <w:p w:rsidR="0020282F" w:rsidRPr="00C94273" w:rsidRDefault="0020282F" w:rsidP="001802FC">
            <w:pPr>
              <w:rPr>
                <w:rFonts w:cs="Arial"/>
                <w:sz w:val="20"/>
                <w:szCs w:val="20"/>
                <w:lang w:val="es-ES"/>
              </w:rPr>
            </w:pPr>
          </w:p>
        </w:tc>
        <w:tc>
          <w:tcPr>
            <w:tcW w:w="1288" w:type="dxa"/>
          </w:tcPr>
          <w:p w:rsidR="0020282F" w:rsidRPr="00C94273" w:rsidRDefault="0020282F" w:rsidP="001802FC">
            <w:pPr>
              <w:rPr>
                <w:rFonts w:cs="Arial"/>
                <w:sz w:val="20"/>
                <w:szCs w:val="20"/>
                <w:lang w:val="es-ES"/>
              </w:rPr>
            </w:pPr>
            <w:r w:rsidRPr="00C94273">
              <w:rPr>
                <w:rFonts w:cs="Arial"/>
                <w:sz w:val="20"/>
                <w:szCs w:val="20"/>
                <w:lang w:val="es-ES"/>
              </w:rPr>
              <w:t>S</w:t>
            </w:r>
          </w:p>
        </w:tc>
        <w:tc>
          <w:tcPr>
            <w:tcW w:w="5044" w:type="dxa"/>
          </w:tcPr>
          <w:p w:rsidR="0020282F" w:rsidRPr="00C94273" w:rsidRDefault="0020282F" w:rsidP="001802FC">
            <w:pPr>
              <w:rPr>
                <w:sz w:val="20"/>
                <w:szCs w:val="20"/>
                <w:lang w:val="es-ES"/>
              </w:rPr>
            </w:pPr>
            <w:r w:rsidRPr="00C94273">
              <w:rPr>
                <w:sz w:val="20"/>
                <w:szCs w:val="20"/>
                <w:lang w:val="es-ES"/>
              </w:rPr>
              <w:t>IUCN</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13" w:history="1">
              <w:r w:rsidR="0020282F" w:rsidRPr="00C94273">
                <w:rPr>
                  <w:rStyle w:val="Hyperlink"/>
                  <w:sz w:val="20"/>
                  <w:szCs w:val="20"/>
                </w:rPr>
                <w:t>Economic Valuation of Wetlands: A Guide For Policy Makers And Planners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sz w:val="20"/>
                <w:szCs w:val="20"/>
              </w:rPr>
              <w:t>E</w:t>
            </w:r>
          </w:p>
        </w:tc>
        <w:tc>
          <w:tcPr>
            <w:tcW w:w="5044" w:type="dxa"/>
          </w:tcPr>
          <w:p w:rsidR="0020282F" w:rsidRPr="00C94273" w:rsidRDefault="0020282F" w:rsidP="001802FC">
            <w:pPr>
              <w:rPr>
                <w:sz w:val="20"/>
                <w:szCs w:val="20"/>
              </w:rPr>
            </w:pPr>
            <w:r w:rsidRPr="00C94273">
              <w:rPr>
                <w:sz w:val="20"/>
                <w:szCs w:val="20"/>
              </w:rPr>
              <w:t>Ramsar, IUCN, et al from 1997</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aim of this book is to provide guidance to policy makers and planners on the potential for economic valuation of wetlands and how such valuation studies should be conducted. . . . [T]his book provides details of the various techniques and examples of wetland valuation studies together with guidance on planning and managing a study and putting the result into a wider decision-making framework.”</w:t>
            </w:r>
          </w:p>
        </w:tc>
      </w:tr>
      <w:tr w:rsidR="00E602AE" w:rsidRPr="00C94273" w:rsidTr="00762B18">
        <w:trPr>
          <w:cantSplit/>
        </w:trPr>
        <w:tc>
          <w:tcPr>
            <w:tcW w:w="3085" w:type="dxa"/>
          </w:tcPr>
          <w:p w:rsidR="0020282F" w:rsidRPr="00C94273" w:rsidRDefault="001E728F" w:rsidP="001802FC">
            <w:pPr>
              <w:rPr>
                <w:rFonts w:cs="Arial"/>
                <w:sz w:val="20"/>
                <w:szCs w:val="20"/>
              </w:rPr>
            </w:pPr>
            <w:hyperlink r:id="rId114" w:history="1">
              <w:r w:rsidR="0020282F" w:rsidRPr="00C94273">
                <w:rPr>
                  <w:rStyle w:val="Hyperlink"/>
                  <w:sz w:val="20"/>
                  <w:szCs w:val="20"/>
                </w:rPr>
                <w:t>Working Wetlands: Classifying Wetland Potential for Agriculture</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rPr>
            </w:pPr>
            <w:r w:rsidRPr="00C94273">
              <w:rPr>
                <w:sz w:val="20"/>
                <w:szCs w:val="20"/>
              </w:rPr>
              <w:t>IWMI</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“A systematic and semi-quantitative method of evaluation is presented, which enables the classification of the ‘potential’ of using a working wetland for specified agricultural activities. The approach, which is underpinned by the concept of ‘wise use,’ is based on a form of multi-criteria analysis that integrates biophysical and socioeconomic aspects of wetland utilization.”</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15" w:history="1">
              <w:r w:rsidR="0020282F" w:rsidRPr="00C94273">
                <w:rPr>
                  <w:rStyle w:val="Hyperlink"/>
                  <w:sz w:val="20"/>
                  <w:szCs w:val="20"/>
                </w:rPr>
                <w:t>The Economics of Ecosystems and Biodiversity for Water and Wetlands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sz w:val="20"/>
                <w:szCs w:val="20"/>
              </w:rPr>
              <w:t>E (summary available in EFSRAC)</w:t>
            </w:r>
          </w:p>
        </w:tc>
        <w:tc>
          <w:tcPr>
            <w:tcW w:w="5044" w:type="dxa"/>
          </w:tcPr>
          <w:p w:rsidR="0020282F" w:rsidRPr="00C94273" w:rsidRDefault="0020282F" w:rsidP="001802FC">
            <w:pPr>
              <w:rPr>
                <w:sz w:val="20"/>
                <w:szCs w:val="20"/>
              </w:rPr>
            </w:pPr>
            <w:r w:rsidRPr="00C94273">
              <w:rPr>
                <w:sz w:val="20"/>
                <w:szCs w:val="20"/>
              </w:rPr>
              <w:t>IEEP &amp; Ramsar</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This report aims to support evidence-based decision making by presenting an array of ecosystem service values in varying contexts.”</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lang w:val="en"/>
              </w:rPr>
            </w:pPr>
            <w:hyperlink r:id="rId116" w:history="1">
              <w:r w:rsidR="0020282F" w:rsidRPr="00C94273">
                <w:rPr>
                  <w:rStyle w:val="Hyperlink"/>
                  <w:sz w:val="20"/>
                  <w:szCs w:val="20"/>
                  <w:lang w:val="en"/>
                </w:rPr>
                <w:t>Ecosystems and Human Well-Being: Wetlands and Water Synthesis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sz w:val="20"/>
                <w:szCs w:val="20"/>
                <w:lang w:val="en"/>
              </w:rPr>
              <w:t>ES (and others)</w:t>
            </w:r>
          </w:p>
        </w:tc>
        <w:tc>
          <w:tcPr>
            <w:tcW w:w="5044" w:type="dxa"/>
          </w:tcPr>
          <w:p w:rsidR="0020282F" w:rsidRPr="00C94273" w:rsidRDefault="0020282F" w:rsidP="001802FC">
            <w:pPr>
              <w:rPr>
                <w:sz w:val="20"/>
                <w:szCs w:val="20"/>
                <w:lang w:val="en"/>
              </w:rPr>
            </w:pPr>
            <w:r w:rsidRPr="00C94273">
              <w:rPr>
                <w:sz w:val="20"/>
                <w:szCs w:val="20"/>
                <w:lang w:val="en"/>
              </w:rPr>
              <w:t>Millennium Ecosystem Assessment</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“This report, synthesizing the findings of the MA on inland, coastal, and near-shore marine wetlands, is the key product of the MA for the Ramsar Convention. . . . The synthesis stresses the link between wetlands and water and will help us set the future agenda for </w:t>
            </w:r>
            <w:proofErr w:type="gramStart"/>
            <w:r w:rsidRPr="00C94273">
              <w:rPr>
                <w:sz w:val="20"/>
                <w:szCs w:val="20"/>
              </w:rPr>
              <w:t>Ramsar. . .</w:t>
            </w:r>
            <w:proofErr w:type="gramEnd"/>
            <w:r w:rsidRPr="00C94273">
              <w:rPr>
                <w:sz w:val="20"/>
                <w:szCs w:val="20"/>
              </w:rPr>
              <w:t xml:space="preserve"> The Millennium Ecosystem Assessment was a four-year international process (2001–05) designed to meet the needs of decision makers for information on the links between ecosystem change and human well-being. It focused on how changes in ecosystems and ecosystem services have affected human well-being, how ecosystem changes may affect people in future decades, and what types of responses can be adopted at local, national, regional, or global scales to improve ecosystem management and thereby contribute to human well-being.”</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lang w:val="en"/>
              </w:rPr>
            </w:pPr>
            <w:hyperlink r:id="rId117" w:history="1">
              <w:r w:rsidR="0020282F" w:rsidRPr="00C94273">
                <w:rPr>
                  <w:rStyle w:val="Hyperlink"/>
                  <w:sz w:val="20"/>
                  <w:szCs w:val="20"/>
                  <w:lang w:val="en"/>
                </w:rPr>
                <w:t>Earth Economics Ecosystem Valuation Toolkit</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p>
        </w:tc>
        <w:tc>
          <w:tcPr>
            <w:tcW w:w="5044"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Some resources are not available yet</w:t>
            </w:r>
          </w:p>
          <w:p w:rsidR="0020282F" w:rsidRPr="00C94273" w:rsidRDefault="0020282F" w:rsidP="001802FC">
            <w:pPr>
              <w:rPr>
                <w:sz w:val="20"/>
                <w:szCs w:val="20"/>
                <w:lang w:val="en"/>
              </w:rPr>
            </w:pPr>
            <w:r w:rsidRPr="00C94273">
              <w:rPr>
                <w:sz w:val="20"/>
                <w:szCs w:val="20"/>
                <w:u w:val="single"/>
                <w:lang w:val="en"/>
              </w:rPr>
              <w:t>Summary:</w:t>
            </w:r>
            <w:r w:rsidRPr="00C94273">
              <w:rPr>
                <w:sz w:val="20"/>
                <w:szCs w:val="20"/>
                <w:lang w:val="en"/>
              </w:rPr>
              <w:t xml:space="preserve"> “The EVT seeks to accelerate the adoption of ecosystem service valuation by providing a comprehensive, searchable online database of values for nature and tools for calculating the value of natural assets. These outputs can then be utilized by planners, watershed managers, forest owners, natural resource agencies, scholars and businesses to communicate the previously unrecognized value of these assets for conservation, restoration, or other land use decisions.”</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18" w:history="1">
              <w:r w:rsidR="0020282F" w:rsidRPr="00C94273">
                <w:rPr>
                  <w:rStyle w:val="Hyperlink"/>
                  <w:sz w:val="20"/>
                  <w:szCs w:val="20"/>
                </w:rPr>
                <w:t>Guidance Manual for the Valuation of Regulating Services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lang w:val="en"/>
              </w:rPr>
            </w:pPr>
            <w:r w:rsidRPr="00C94273">
              <w:rPr>
                <w:sz w:val="20"/>
                <w:szCs w:val="20"/>
                <w:lang w:val="en"/>
              </w:rPr>
              <w:t>UNEP</w:t>
            </w:r>
          </w:p>
          <w:p w:rsidR="0020282F" w:rsidRPr="00C94273" w:rsidRDefault="0020282F" w:rsidP="001802FC">
            <w:pPr>
              <w:rPr>
                <w:color w:val="0000FF" w:themeColor="hyperlink"/>
                <w:sz w:val="20"/>
                <w:szCs w:val="20"/>
                <w:lang w:val="en"/>
              </w:rPr>
            </w:pPr>
            <w:r w:rsidRPr="00C94273">
              <w:rPr>
                <w:color w:val="000000" w:themeColor="text1"/>
                <w:sz w:val="20"/>
                <w:szCs w:val="20"/>
                <w:u w:val="single"/>
                <w:lang w:val="en"/>
              </w:rPr>
              <w:t>Summary:</w:t>
            </w:r>
            <w:r w:rsidRPr="00C94273">
              <w:rPr>
                <w:color w:val="000000" w:themeColor="text1"/>
                <w:sz w:val="20"/>
                <w:szCs w:val="20"/>
                <w:lang w:val="en"/>
              </w:rPr>
              <w:t xml:space="preserve"> “This manual is directed towards practitioners in environmental economics. Its primary use is expected to be as a supporting tool for estimating the economic value of regulating services provided by a particular ecosystem in a particular area and for a specified time period.”</w:t>
            </w:r>
          </w:p>
        </w:tc>
      </w:tr>
      <w:tr w:rsidR="00E602AE" w:rsidRPr="00C94273" w:rsidTr="00762B18">
        <w:trPr>
          <w:cantSplit/>
        </w:trPr>
        <w:tc>
          <w:tcPr>
            <w:tcW w:w="3085" w:type="dxa"/>
          </w:tcPr>
          <w:p w:rsidR="0020282F" w:rsidRPr="00C94273" w:rsidRDefault="001E728F" w:rsidP="001802FC">
            <w:pPr>
              <w:rPr>
                <w:rFonts w:cs="Arial"/>
                <w:sz w:val="20"/>
                <w:szCs w:val="20"/>
              </w:rPr>
            </w:pPr>
            <w:hyperlink r:id="rId119" w:history="1">
              <w:r w:rsidR="0020282F" w:rsidRPr="00C94273">
                <w:rPr>
                  <w:rStyle w:val="Hyperlink"/>
                  <w:sz w:val="20"/>
                  <w:szCs w:val="20"/>
                </w:rPr>
                <w:t>Manual on Value Transfer Methods for Ecosystem Services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lang w:val="en"/>
              </w:rPr>
            </w:pPr>
            <w:r w:rsidRPr="00C94273">
              <w:rPr>
                <w:sz w:val="20"/>
                <w:szCs w:val="20"/>
                <w:lang w:val="en"/>
              </w:rPr>
              <w:t>UNEP</w:t>
            </w:r>
          </w:p>
          <w:p w:rsidR="0020282F" w:rsidRPr="00C94273" w:rsidRDefault="0020282F" w:rsidP="001802FC">
            <w:pPr>
              <w:rPr>
                <w:sz w:val="20"/>
                <w:szCs w:val="20"/>
                <w:lang w:val="en"/>
              </w:rPr>
            </w:pPr>
            <w:r w:rsidRPr="00C94273">
              <w:rPr>
                <w:sz w:val="20"/>
                <w:szCs w:val="20"/>
                <w:u w:val="single"/>
                <w:lang w:val="en"/>
              </w:rPr>
              <w:t>Summary:</w:t>
            </w:r>
            <w:r w:rsidRPr="00C94273">
              <w:rPr>
                <w:sz w:val="20"/>
                <w:szCs w:val="20"/>
                <w:lang w:val="en"/>
              </w:rPr>
              <w:t xml:space="preserve"> “The purpose of this guidance manual is to show how the value of ecosystem services can be estimated and incorporated into decision making. Specifically, it is designed to help a broad audience of conservation managers, government officials, private sector managers, NGOs, and statisticians to understand the available information on the values of ecosystem services and how this information can be transferred to inform the decisions that they make.”</w:t>
            </w:r>
          </w:p>
        </w:tc>
      </w:tr>
      <w:tr w:rsidR="00E602AE" w:rsidRPr="00C94273" w:rsidTr="00762B18">
        <w:trPr>
          <w:cantSplit/>
        </w:trPr>
        <w:tc>
          <w:tcPr>
            <w:tcW w:w="3085" w:type="dxa"/>
          </w:tcPr>
          <w:p w:rsidR="0020282F" w:rsidRPr="00C94273" w:rsidRDefault="001E728F" w:rsidP="001802FC">
            <w:pPr>
              <w:rPr>
                <w:rStyle w:val="Hyperlink"/>
                <w:sz w:val="20"/>
                <w:szCs w:val="20"/>
              </w:rPr>
            </w:pPr>
            <w:hyperlink r:id="rId120" w:history="1">
              <w:r w:rsidR="0020282F" w:rsidRPr="00C94273">
                <w:rPr>
                  <w:rStyle w:val="Hyperlink"/>
                  <w:sz w:val="20"/>
                  <w:szCs w:val="20"/>
                </w:rPr>
                <w:t>Literature Review of the Economic Value of Ecosystem Services that Wetlands Provide: Final Report prepared for the Department of Sustainability, Environment, Water, Population and Communities</w:t>
              </w:r>
            </w:hyperlink>
          </w:p>
          <w:p w:rsidR="0020282F" w:rsidRPr="00C94273" w:rsidRDefault="0020282F" w:rsidP="001802FC">
            <w:pPr>
              <w:rPr>
                <w:rFonts w:cs="Arial"/>
                <w:sz w:val="20"/>
                <w:szCs w:val="20"/>
              </w:rPr>
            </w:pPr>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rPr>
            </w:pPr>
            <w:r w:rsidRPr="00C94273">
              <w:rPr>
                <w:sz w:val="20"/>
                <w:szCs w:val="20"/>
              </w:rPr>
              <w:t>Marsden Jacob Associates</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“In addition to providing a critical review of the literature for both ecosystem service estimation and economic valuation of ecosystem services, this study will provide advice to policy-makers in this area relating to the use of ecosystem services contents and valuation in policy, planning and investment decisions.”</w:t>
            </w:r>
          </w:p>
        </w:tc>
      </w:tr>
      <w:tr w:rsidR="00E602AE" w:rsidRPr="00C94273" w:rsidTr="00762B18">
        <w:trPr>
          <w:cantSplit/>
        </w:trPr>
        <w:tc>
          <w:tcPr>
            <w:tcW w:w="3085" w:type="dxa"/>
          </w:tcPr>
          <w:p w:rsidR="0020282F" w:rsidRPr="00C94273" w:rsidRDefault="001E728F" w:rsidP="001802FC">
            <w:pPr>
              <w:rPr>
                <w:rStyle w:val="Hyperlink"/>
                <w:sz w:val="20"/>
                <w:szCs w:val="20"/>
              </w:rPr>
            </w:pPr>
            <w:hyperlink r:id="rId121" w:anchor="Contents" w:history="1">
              <w:r w:rsidR="0020282F" w:rsidRPr="00C94273">
                <w:rPr>
                  <w:rStyle w:val="Hyperlink"/>
                  <w:sz w:val="20"/>
                  <w:szCs w:val="20"/>
                </w:rPr>
                <w:t>Economic valuation of water resources in agriculture: From the sectoral to a functional perspective of natural resource management</w:t>
              </w:r>
            </w:hyperlink>
          </w:p>
          <w:p w:rsidR="0020282F" w:rsidRPr="00C94273" w:rsidRDefault="0020282F" w:rsidP="001802FC">
            <w:pPr>
              <w:rPr>
                <w:rFonts w:cs="Arial"/>
                <w:sz w:val="20"/>
                <w:szCs w:val="20"/>
              </w:rPr>
            </w:pPr>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rPr>
            </w:pPr>
            <w:r w:rsidRPr="00C94273">
              <w:rPr>
                <w:sz w:val="20"/>
                <w:szCs w:val="20"/>
              </w:rPr>
              <w:t>FA</w:t>
            </w:r>
          </w:p>
          <w:p w:rsidR="0020282F" w:rsidRPr="00C94273" w:rsidRDefault="0020282F" w:rsidP="001802FC">
            <w:pPr>
              <w:rPr>
                <w:sz w:val="20"/>
                <w:szCs w:val="20"/>
              </w:rPr>
            </w:pP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purpose of this report is to produce a review on water resource valuation issues and techniques specifically for the appraisal and negotiation of raw (as opposed to bulk or retail) water resource allocation for agricultural development projects. The review considers raw water in naturally occurring watercourses, lakes, wetlands, soil and aquifers, taking an ecosystem function perspective at a catchment scale, and takes account of the demands from irrigated and </w:t>
            </w:r>
            <w:proofErr w:type="spellStart"/>
            <w:r w:rsidRPr="00C94273">
              <w:rPr>
                <w:sz w:val="20"/>
                <w:szCs w:val="20"/>
              </w:rPr>
              <w:t>rainfed</w:t>
            </w:r>
            <w:proofErr w:type="spellEnd"/>
            <w:r w:rsidRPr="00C94273">
              <w:rPr>
                <w:sz w:val="20"/>
                <w:szCs w:val="20"/>
              </w:rPr>
              <w:t xml:space="preserve"> agriculture.”</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22" w:history="1">
              <w:r w:rsidR="0020282F" w:rsidRPr="00C94273">
                <w:rPr>
                  <w:rStyle w:val="Hyperlink"/>
                  <w:sz w:val="20"/>
                  <w:szCs w:val="20"/>
                </w:rPr>
                <w:t>Biodiversity and Ecosystem Services Trends and Conditions Assessment Tool</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p>
        </w:tc>
        <w:tc>
          <w:tcPr>
            <w:tcW w:w="5044"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The Nature Conservancy</w:t>
            </w:r>
          </w:p>
          <w:p w:rsidR="0020282F" w:rsidRPr="00C94273" w:rsidRDefault="0020282F" w:rsidP="001802FC">
            <w:pPr>
              <w:rPr>
                <w:sz w:val="20"/>
                <w:szCs w:val="20"/>
              </w:rPr>
            </w:pPr>
            <w:r w:rsidRPr="00C94273">
              <w:rPr>
                <w:sz w:val="20"/>
                <w:szCs w:val="20"/>
                <w:u w:val="single"/>
              </w:rPr>
              <w:t>Summary</w:t>
            </w:r>
            <w:r w:rsidRPr="00C94273">
              <w:rPr>
                <w:sz w:val="20"/>
                <w:szCs w:val="20"/>
              </w:rPr>
              <w:t>: “</w:t>
            </w:r>
            <w:proofErr w:type="spellStart"/>
            <w:r w:rsidRPr="00C94273">
              <w:rPr>
                <w:sz w:val="20"/>
                <w:szCs w:val="20"/>
              </w:rPr>
              <w:t>BestCat</w:t>
            </w:r>
            <w:proofErr w:type="spellEnd"/>
            <w:r w:rsidRPr="00C94273">
              <w:rPr>
                <w:sz w:val="20"/>
                <w:szCs w:val="20"/>
              </w:rPr>
              <w:t xml:space="preserve"> is a web-based mapping application which provides companies with the ability to compare and contrast global assets based on value and condition of ecosystems and associated biodiversity. This easy-to-use and efficient application provides businesses with a </w:t>
            </w:r>
            <w:proofErr w:type="spellStart"/>
            <w:r w:rsidRPr="00C94273">
              <w:rPr>
                <w:sz w:val="20"/>
                <w:szCs w:val="20"/>
              </w:rPr>
              <w:t>preset</w:t>
            </w:r>
            <w:proofErr w:type="spellEnd"/>
            <w:r w:rsidRPr="00C94273">
              <w:rPr>
                <w:sz w:val="20"/>
                <w:szCs w:val="20"/>
              </w:rPr>
              <w:t xml:space="preserve"> data package that highlights biodiversity and ecosystem service risk and quickly identifies critical locations that require risk management. </w:t>
            </w:r>
            <w:proofErr w:type="spellStart"/>
            <w:r w:rsidRPr="00C94273">
              <w:rPr>
                <w:sz w:val="20"/>
                <w:szCs w:val="20"/>
              </w:rPr>
              <w:t>BestCat</w:t>
            </w:r>
            <w:proofErr w:type="spellEnd"/>
            <w:r w:rsidRPr="00C94273">
              <w:rPr>
                <w:sz w:val="20"/>
                <w:szCs w:val="20"/>
              </w:rPr>
              <w:t xml:space="preserve"> analysis provides a basis for developing cost effective risk mitigation approaches by identifying areas that are associated with potential environmental liabilities.”</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23" w:history="1">
              <w:r w:rsidR="0020282F" w:rsidRPr="00C94273">
                <w:rPr>
                  <w:rStyle w:val="Hyperlink"/>
                  <w:sz w:val="20"/>
                  <w:szCs w:val="20"/>
                </w:rPr>
                <w:t>The IPBES Conceptual Framework – connecting nature and people</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IPBES</w:t>
            </w:r>
          </w:p>
          <w:p w:rsidR="0020282F" w:rsidRPr="00C94273" w:rsidRDefault="0020282F" w:rsidP="001802FC">
            <w:pPr>
              <w:rPr>
                <w:color w:val="0000FF" w:themeColor="hyperlink"/>
                <w:sz w:val="20"/>
                <w:szCs w:val="20"/>
              </w:rPr>
            </w:pPr>
            <w:r w:rsidRPr="00C94273">
              <w:rPr>
                <w:color w:val="000000" w:themeColor="text1"/>
                <w:sz w:val="20"/>
                <w:szCs w:val="20"/>
                <w:u w:val="single"/>
              </w:rPr>
              <w:t>Summary</w:t>
            </w:r>
            <w:r w:rsidRPr="00C94273">
              <w:rPr>
                <w:color w:val="000000" w:themeColor="text1"/>
                <w:sz w:val="20"/>
                <w:szCs w:val="20"/>
              </w:rPr>
              <w:t>: “The first public product of the Intergovernmental Platform on Biodiversity and Ecosystem Services (IPBES) is its Conceptual Framework. This conceptual and analytical tool, presented here in detail, will underpin all IPBES functions and provide structure and comparability to the syntheses that IPBES will produce at different spatial scales, on different themes, and in different regions. . . . The IPBES Conceptual Framework (hereafter CF) is a highly simplified model of the complex interactions between the natural world and human societies that are most relevant to IPBES’s goal.”</w:t>
            </w:r>
          </w:p>
        </w:tc>
      </w:tr>
      <w:tr w:rsidR="00E602AE" w:rsidRPr="00C94273" w:rsidTr="00762B18">
        <w:trPr>
          <w:cantSplit/>
        </w:trPr>
        <w:tc>
          <w:tcPr>
            <w:tcW w:w="3085" w:type="dxa"/>
          </w:tcPr>
          <w:p w:rsidR="0020282F" w:rsidRPr="00C94273" w:rsidRDefault="001E728F" w:rsidP="001802FC">
            <w:pPr>
              <w:rPr>
                <w:color w:val="0000FF" w:themeColor="hyperlink"/>
                <w:sz w:val="20"/>
                <w:szCs w:val="20"/>
                <w:u w:val="single"/>
              </w:rPr>
            </w:pPr>
            <w:hyperlink r:id="rId124" w:history="1">
              <w:r w:rsidR="0020282F" w:rsidRPr="00C94273">
                <w:rPr>
                  <w:rStyle w:val="Hyperlink"/>
                  <w:sz w:val="20"/>
                  <w:szCs w:val="20"/>
                </w:rPr>
                <w:t>The Economics of Ecosystems and Biodiversity – Ecological and Economic Foundations</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rStyle w:val="Hyperlink"/>
                <w:color w:val="auto"/>
                <w:sz w:val="20"/>
                <w:szCs w:val="20"/>
                <w:u w:val="none"/>
              </w:rPr>
            </w:pPr>
            <w:r w:rsidRPr="00C94273">
              <w:rPr>
                <w:rStyle w:val="Hyperlink"/>
                <w:color w:val="auto"/>
                <w:sz w:val="20"/>
                <w:szCs w:val="20"/>
                <w:u w:val="none"/>
              </w:rPr>
              <w:t>TEEB</w:t>
            </w:r>
          </w:p>
          <w:p w:rsidR="0020282F" w:rsidRPr="00C94273" w:rsidRDefault="0020282F" w:rsidP="001802FC">
            <w:pPr>
              <w:rPr>
                <w:sz w:val="20"/>
                <w:szCs w:val="20"/>
              </w:rPr>
            </w:pPr>
            <w:r w:rsidRPr="00C94273">
              <w:rPr>
                <w:sz w:val="20"/>
                <w:szCs w:val="20"/>
                <w:u w:val="single"/>
              </w:rPr>
              <w:t>Summary:</w:t>
            </w:r>
            <w:r w:rsidRPr="00C94273">
              <w:rPr>
                <w:sz w:val="20"/>
                <w:szCs w:val="20"/>
              </w:rPr>
              <w:t xml:space="preserve"> “The goal of TEEB Ecological and Economic Foundations is to provide the conceptual foundation to link economics and ecology, to highlight the relationship between biodiversity and ecosystem services and to show their importance for human well-being. . . . [T]his aspect of the TEEB study tackles the challenges of valuing ecosystem services, as well as issues related to economic discounting. It aims to quantify the costs of inaction and examine the macroeconomic dimension of ecosystem services loss. . . . TEEB Ecological and Economic Foundations is the most comprehensive overview of existing thinking in this area to date, and the process is bringing scientists and economists together to provide the analysis and tools required in order for us to be able to create a robust methodological framework enabling the decision-makers at different levels to undertake economic analysis of ecosystem services and biodiversity.”</w:t>
            </w:r>
          </w:p>
        </w:tc>
      </w:tr>
      <w:tr w:rsidR="00E602AE" w:rsidRPr="00C94273" w:rsidTr="00762B18">
        <w:trPr>
          <w:cantSplit/>
        </w:trPr>
        <w:tc>
          <w:tcPr>
            <w:tcW w:w="3085" w:type="dxa"/>
          </w:tcPr>
          <w:p w:rsidR="0020282F" w:rsidRPr="00C94273" w:rsidRDefault="001E728F" w:rsidP="001802FC">
            <w:pPr>
              <w:rPr>
                <w:sz w:val="20"/>
                <w:szCs w:val="20"/>
              </w:rPr>
            </w:pPr>
            <w:hyperlink r:id="rId125" w:history="1">
              <w:r w:rsidR="0020282F" w:rsidRPr="00C94273">
                <w:rPr>
                  <w:rStyle w:val="Hyperlink"/>
                  <w:sz w:val="20"/>
                  <w:szCs w:val="20"/>
                </w:rPr>
                <w:t>Literature Review of the Economic Value of Ecosystem Services that Wetlands Provide</w:t>
              </w:r>
            </w:hyperlink>
          </w:p>
        </w:tc>
        <w:tc>
          <w:tcPr>
            <w:tcW w:w="1276" w:type="dxa"/>
          </w:tcPr>
          <w:p w:rsidR="0020282F" w:rsidRPr="00C94273" w:rsidRDefault="0020282F" w:rsidP="001802FC">
            <w:pPr>
              <w:rPr>
                <w:rFonts w:cs="Arial"/>
                <w:sz w:val="20"/>
                <w:szCs w:val="20"/>
              </w:rPr>
            </w:pPr>
          </w:p>
        </w:tc>
        <w:tc>
          <w:tcPr>
            <w:tcW w:w="2126" w:type="dxa"/>
          </w:tcPr>
          <w:p w:rsidR="0020282F" w:rsidRPr="00C94273" w:rsidRDefault="0020282F" w:rsidP="001802FC">
            <w:pPr>
              <w:rPr>
                <w:rFonts w:cs="Arial"/>
                <w:sz w:val="20"/>
                <w:szCs w:val="20"/>
              </w:rPr>
            </w:pPr>
          </w:p>
        </w:tc>
        <w:tc>
          <w:tcPr>
            <w:tcW w:w="1355" w:type="dxa"/>
          </w:tcPr>
          <w:p w:rsidR="0020282F" w:rsidRPr="00C94273" w:rsidRDefault="0020282F" w:rsidP="001802FC">
            <w:pPr>
              <w:rPr>
                <w:rFonts w:cs="Arial"/>
                <w:sz w:val="20"/>
                <w:szCs w:val="20"/>
              </w:rPr>
            </w:pPr>
          </w:p>
        </w:tc>
        <w:tc>
          <w:tcPr>
            <w:tcW w:w="1288" w:type="dxa"/>
          </w:tcPr>
          <w:p w:rsidR="0020282F" w:rsidRPr="00C94273" w:rsidRDefault="0020282F" w:rsidP="001802FC">
            <w:pPr>
              <w:rPr>
                <w:rFonts w:cs="Arial"/>
                <w:sz w:val="20"/>
                <w:szCs w:val="20"/>
              </w:rPr>
            </w:pPr>
            <w:r w:rsidRPr="00C94273">
              <w:rPr>
                <w:rFonts w:cs="Arial"/>
                <w:sz w:val="20"/>
                <w:szCs w:val="20"/>
              </w:rPr>
              <w:t>E</w:t>
            </w:r>
          </w:p>
        </w:tc>
        <w:tc>
          <w:tcPr>
            <w:tcW w:w="5044" w:type="dxa"/>
          </w:tcPr>
          <w:p w:rsidR="0020282F" w:rsidRPr="00C94273" w:rsidRDefault="0020282F" w:rsidP="001802FC">
            <w:pPr>
              <w:rPr>
                <w:sz w:val="20"/>
                <w:szCs w:val="20"/>
              </w:rPr>
            </w:pPr>
            <w:r w:rsidRPr="00C94273">
              <w:rPr>
                <w:sz w:val="20"/>
                <w:szCs w:val="20"/>
              </w:rPr>
              <w:t>Department of Sustainability, Environment, Water, Population and Communities of Australia</w:t>
            </w:r>
          </w:p>
          <w:p w:rsidR="0020282F" w:rsidRPr="00C94273" w:rsidRDefault="0020282F" w:rsidP="001802FC">
            <w:pPr>
              <w:rPr>
                <w:sz w:val="20"/>
                <w:szCs w:val="20"/>
              </w:rPr>
            </w:pPr>
          </w:p>
          <w:p w:rsidR="0020282F" w:rsidRPr="00C94273" w:rsidRDefault="0020282F" w:rsidP="001802FC">
            <w:pPr>
              <w:rPr>
                <w:rStyle w:val="Hyperlink"/>
                <w:color w:val="auto"/>
                <w:sz w:val="20"/>
                <w:szCs w:val="20"/>
                <w:u w:val="none"/>
              </w:rPr>
            </w:pPr>
            <w:r w:rsidRPr="00C94273">
              <w:rPr>
                <w:rStyle w:val="Hyperlink"/>
                <w:color w:val="auto"/>
                <w:sz w:val="20"/>
                <w:szCs w:val="20"/>
                <w:u w:val="none"/>
              </w:rPr>
              <w:t>This report outlines the various valuation techniques that could potentially be used for valuing ecosystem services. It also identifies a number of knowledge gaps and deficiencies in the methodology of the current valuation techniques that are available.</w:t>
            </w:r>
          </w:p>
        </w:tc>
      </w:tr>
    </w:tbl>
    <w:p w:rsidR="008C4767" w:rsidRPr="00C94273" w:rsidRDefault="008C4767" w:rsidP="001802FC">
      <w:pPr>
        <w:spacing w:after="0" w:line="240" w:lineRule="auto"/>
        <w:rPr>
          <w:rFonts w:cs="Arial"/>
          <w:b/>
          <w:sz w:val="20"/>
          <w:szCs w:val="20"/>
        </w:rPr>
        <w:sectPr w:rsidR="008C4767" w:rsidRPr="00C94273" w:rsidSect="00F93D80">
          <w:footnotePr>
            <w:numRestart w:val="eachSect"/>
          </w:footnotePr>
          <w:pgSz w:w="16838" w:h="11906" w:orient="landscape"/>
          <w:pgMar w:top="1440" w:right="1440" w:bottom="1440" w:left="1440" w:header="708" w:footer="708" w:gutter="0"/>
          <w:cols w:space="708"/>
          <w:docGrid w:linePitch="360"/>
        </w:sectPr>
      </w:pPr>
    </w:p>
    <w:p w:rsidR="00E602AE" w:rsidRPr="00C94273" w:rsidRDefault="00E602AE">
      <w:pPr>
        <w:rPr>
          <w:rFonts w:cs="Arial"/>
          <w:b/>
          <w:sz w:val="20"/>
          <w:szCs w:val="20"/>
        </w:rPr>
      </w:pPr>
      <w:r w:rsidRPr="00C94273">
        <w:rPr>
          <w:rFonts w:cs="Arial"/>
          <w:b/>
          <w:sz w:val="20"/>
          <w:szCs w:val="20"/>
        </w:rPr>
        <w:lastRenderedPageBreak/>
        <w:br w:type="page"/>
      </w:r>
    </w:p>
    <w:tbl>
      <w:tblPr>
        <w:tblStyle w:val="TableGrid"/>
        <w:tblW w:w="0" w:type="auto"/>
        <w:tblCellMar>
          <w:top w:w="57" w:type="dxa"/>
          <w:bottom w:w="57" w:type="dxa"/>
        </w:tblCellMar>
        <w:tblLook w:val="04A0" w:firstRow="1" w:lastRow="0" w:firstColumn="1" w:lastColumn="0" w:noHBand="0" w:noVBand="1"/>
      </w:tblPr>
      <w:tblGrid>
        <w:gridCol w:w="3062"/>
        <w:gridCol w:w="1299"/>
        <w:gridCol w:w="2126"/>
        <w:gridCol w:w="1276"/>
        <w:gridCol w:w="1276"/>
        <w:gridCol w:w="5135"/>
      </w:tblGrid>
      <w:tr w:rsidR="00E602AE" w:rsidRPr="00C94273" w:rsidTr="0043685F">
        <w:trPr>
          <w:cantSplit/>
        </w:trPr>
        <w:tc>
          <w:tcPr>
            <w:tcW w:w="0" w:type="auto"/>
            <w:gridSpan w:val="6"/>
            <w:shd w:val="clear" w:color="auto" w:fill="FDE9D9" w:themeFill="accent6" w:themeFillTint="33"/>
          </w:tcPr>
          <w:p w:rsidR="00E602AE" w:rsidRPr="00C94273" w:rsidRDefault="00E602AE" w:rsidP="001802FC">
            <w:pPr>
              <w:jc w:val="center"/>
              <w:rPr>
                <w:rFonts w:cs="Arial"/>
                <w:b/>
                <w:sz w:val="20"/>
                <w:szCs w:val="20"/>
              </w:rPr>
            </w:pPr>
            <w:r w:rsidRPr="00C94273">
              <w:rPr>
                <w:rFonts w:cs="Arial"/>
                <w:b/>
                <w:sz w:val="20"/>
                <w:szCs w:val="20"/>
              </w:rPr>
              <w:lastRenderedPageBreak/>
              <w:br w:type="page"/>
              <w:t xml:space="preserve">Thematic Work Area No.4: </w:t>
            </w:r>
            <w:r w:rsidRPr="00C94273">
              <w:t xml:space="preserve"> </w:t>
            </w:r>
            <w:r w:rsidRPr="00C94273">
              <w:rPr>
                <w:b/>
                <w:sz w:val="20"/>
                <w:szCs w:val="20"/>
              </w:rPr>
              <w:t>Promoting wetland conservation within sustainable development frameworks and other relevant development initiatives</w:t>
            </w:r>
          </w:p>
        </w:tc>
      </w:tr>
      <w:tr w:rsidR="00762B18" w:rsidRPr="00C94273" w:rsidTr="0043685F">
        <w:trPr>
          <w:cantSplit/>
        </w:trPr>
        <w:tc>
          <w:tcPr>
            <w:tcW w:w="3062"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Title</w:t>
            </w:r>
          </w:p>
        </w:tc>
        <w:tc>
          <w:tcPr>
            <w:tcW w:w="1299"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Type of guidance</w:t>
            </w:r>
          </w:p>
        </w:tc>
        <w:tc>
          <w:tcPr>
            <w:tcW w:w="2126"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Target audience (practitioners, policymakers, scientists)</w:t>
            </w:r>
          </w:p>
        </w:tc>
        <w:tc>
          <w:tcPr>
            <w:tcW w:w="1276"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Ramsar Handbook (4</w:t>
            </w:r>
            <w:r w:rsidRPr="00C94273">
              <w:rPr>
                <w:rFonts w:cs="Arial"/>
                <w:b/>
                <w:sz w:val="20"/>
                <w:szCs w:val="20"/>
                <w:vertAlign w:val="superscript"/>
              </w:rPr>
              <w:t>th</w:t>
            </w:r>
            <w:r w:rsidRPr="00C94273">
              <w:rPr>
                <w:rFonts w:cs="Arial"/>
                <w:b/>
                <w:sz w:val="20"/>
                <w:szCs w:val="20"/>
              </w:rPr>
              <w:t xml:space="preserve"> ed.)</w:t>
            </w:r>
          </w:p>
        </w:tc>
        <w:tc>
          <w:tcPr>
            <w:tcW w:w="1276"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Language</w:t>
            </w:r>
            <w:r w:rsidRPr="00C94273">
              <w:rPr>
                <w:rStyle w:val="FootnoteReference"/>
                <w:rFonts w:cs="Arial"/>
                <w:b/>
                <w:sz w:val="20"/>
                <w:szCs w:val="20"/>
              </w:rPr>
              <w:footnoteReference w:id="4"/>
            </w:r>
          </w:p>
        </w:tc>
        <w:tc>
          <w:tcPr>
            <w:tcW w:w="5135" w:type="dxa"/>
            <w:shd w:val="clear" w:color="auto" w:fill="FDE9D9" w:themeFill="accent6" w:themeFillTint="33"/>
          </w:tcPr>
          <w:p w:rsidR="00E602AE" w:rsidRPr="00C94273" w:rsidRDefault="00E602AE" w:rsidP="00E602AE">
            <w:pPr>
              <w:jc w:val="center"/>
              <w:rPr>
                <w:rFonts w:cs="Arial"/>
                <w:b/>
                <w:sz w:val="20"/>
                <w:szCs w:val="20"/>
              </w:rPr>
            </w:pPr>
            <w:r w:rsidRPr="00C94273">
              <w:rPr>
                <w:rFonts w:cs="Arial"/>
                <w:b/>
                <w:sz w:val="20"/>
                <w:szCs w:val="20"/>
              </w:rPr>
              <w:t>Notes</w:t>
            </w:r>
          </w:p>
        </w:tc>
      </w:tr>
      <w:tr w:rsidR="00E602AE" w:rsidRPr="00C94273" w:rsidTr="00762B18">
        <w:trPr>
          <w:cantSplit/>
        </w:trPr>
        <w:tc>
          <w:tcPr>
            <w:tcW w:w="0" w:type="auto"/>
            <w:gridSpan w:val="6"/>
            <w:shd w:val="clear" w:color="auto" w:fill="F2F2F2" w:themeFill="background1" w:themeFillShade="F2"/>
          </w:tcPr>
          <w:p w:rsidR="000C6E14" w:rsidRPr="00C94273" w:rsidRDefault="000C6E14" w:rsidP="001802FC">
            <w:pPr>
              <w:jc w:val="center"/>
              <w:rPr>
                <w:rFonts w:cs="Arial"/>
                <w:b/>
                <w:sz w:val="20"/>
                <w:szCs w:val="20"/>
              </w:rPr>
            </w:pPr>
            <w:r w:rsidRPr="00C94273">
              <w:rPr>
                <w:rFonts w:cs="Arial"/>
                <w:b/>
                <w:sz w:val="20"/>
                <w:szCs w:val="20"/>
              </w:rPr>
              <w:t>Ramsar guidance</w:t>
            </w:r>
          </w:p>
        </w:tc>
      </w:tr>
      <w:tr w:rsidR="00E602AE" w:rsidRPr="00C94273" w:rsidTr="0043685F">
        <w:trPr>
          <w:cantSplit/>
        </w:trPr>
        <w:tc>
          <w:tcPr>
            <w:tcW w:w="0" w:type="auto"/>
            <w:gridSpan w:val="6"/>
            <w:shd w:val="clear" w:color="auto" w:fill="FDE9D9" w:themeFill="accent6" w:themeFillTint="33"/>
          </w:tcPr>
          <w:p w:rsidR="004C228B" w:rsidRPr="00C94273" w:rsidRDefault="004C228B" w:rsidP="001802FC">
            <w:pPr>
              <w:rPr>
                <w:rFonts w:cs="Arial"/>
                <w:b/>
                <w:sz w:val="20"/>
                <w:szCs w:val="20"/>
              </w:rPr>
            </w:pPr>
            <w:r w:rsidRPr="00C94273">
              <w:rPr>
                <w:b/>
                <w:sz w:val="20"/>
                <w:szCs w:val="20"/>
                <w:lang w:val="en-AU"/>
              </w:rPr>
              <w:t>2016-2019 update</w:t>
            </w:r>
          </w:p>
        </w:tc>
      </w:tr>
      <w:tr w:rsidR="00762B18" w:rsidRPr="00C94273" w:rsidTr="00762B18">
        <w:trPr>
          <w:cantSplit/>
        </w:trPr>
        <w:tc>
          <w:tcPr>
            <w:tcW w:w="3062" w:type="dxa"/>
          </w:tcPr>
          <w:p w:rsidR="000C7C4E" w:rsidRPr="00C94273" w:rsidRDefault="001E728F" w:rsidP="001802FC">
            <w:pPr>
              <w:rPr>
                <w:sz w:val="20"/>
                <w:szCs w:val="20"/>
              </w:rPr>
            </w:pPr>
            <w:hyperlink r:id="rId126" w:history="1">
              <w:r w:rsidR="000C7C4E" w:rsidRPr="00C94273">
                <w:rPr>
                  <w:rStyle w:val="Hyperlink"/>
                  <w:sz w:val="20"/>
                  <w:szCs w:val="20"/>
                </w:rPr>
                <w:t>Global Wetland Outlook</w:t>
              </w:r>
            </w:hyperlink>
            <w:r w:rsidR="000C7C4E" w:rsidRPr="00C94273">
              <w:rPr>
                <w:sz w:val="20"/>
                <w:szCs w:val="20"/>
              </w:rPr>
              <w:t xml:space="preserve"> </w:t>
            </w:r>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EFS</w:t>
            </w:r>
            <w:r w:rsidR="00F03441" w:rsidRPr="00C94273">
              <w:rPr>
                <w:sz w:val="20"/>
                <w:szCs w:val="20"/>
              </w:rPr>
              <w:t>RA</w:t>
            </w:r>
            <w:r w:rsidRPr="00C94273">
              <w:rPr>
                <w:sz w:val="20"/>
                <w:szCs w:val="20"/>
              </w:rPr>
              <w:t xml:space="preserve"> </w:t>
            </w:r>
          </w:p>
        </w:tc>
        <w:tc>
          <w:tcPr>
            <w:tcW w:w="5135" w:type="dxa"/>
          </w:tcPr>
          <w:p w:rsidR="000C7C4E" w:rsidRPr="00C94273" w:rsidRDefault="000C7C4E" w:rsidP="001802FC">
            <w:pPr>
              <w:rPr>
                <w:sz w:val="20"/>
                <w:szCs w:val="20"/>
              </w:rPr>
            </w:pPr>
            <w:r w:rsidRPr="00C94273">
              <w:rPr>
                <w:sz w:val="20"/>
                <w:szCs w:val="20"/>
                <w:u w:val="single"/>
              </w:rPr>
              <w:t>Summary</w:t>
            </w:r>
            <w:r w:rsidRPr="00C94273">
              <w:rPr>
                <w:sz w:val="20"/>
                <w:szCs w:val="20"/>
              </w:rPr>
              <w:t xml:space="preserve">: The Global Wetland Outlook, a Flagship publication of the Ramsar Convention on Wetlands, </w:t>
            </w:r>
            <w:r w:rsidR="00A23C16" w:rsidRPr="00C94273">
              <w:rPr>
                <w:sz w:val="20"/>
                <w:szCs w:val="20"/>
              </w:rPr>
              <w:t>“</w:t>
            </w:r>
            <w:r w:rsidRPr="00C94273">
              <w:rPr>
                <w:sz w:val="20"/>
                <w:szCs w:val="20"/>
              </w:rPr>
              <w:t>provides a current overview of global wetlands: their extent, trends, drivers of change and the responses needed to reverse the historical decline in wetland area and quality</w:t>
            </w:r>
            <w:r w:rsidR="00A23C16" w:rsidRPr="00C94273">
              <w:rPr>
                <w:sz w:val="20"/>
                <w:szCs w:val="20"/>
              </w:rPr>
              <w:t>”</w:t>
            </w:r>
            <w:r w:rsidRPr="00C94273">
              <w:rPr>
                <w:sz w:val="20"/>
                <w:szCs w:val="20"/>
              </w:rPr>
              <w:t>.</w:t>
            </w:r>
          </w:p>
        </w:tc>
      </w:tr>
      <w:tr w:rsidR="00762B18" w:rsidRPr="00C94273" w:rsidTr="00762B18">
        <w:trPr>
          <w:cantSplit/>
        </w:trPr>
        <w:tc>
          <w:tcPr>
            <w:tcW w:w="3062" w:type="dxa"/>
          </w:tcPr>
          <w:p w:rsidR="000C7C4E" w:rsidRPr="00C94273" w:rsidRDefault="001E728F" w:rsidP="001802FC">
            <w:pPr>
              <w:rPr>
                <w:sz w:val="20"/>
                <w:szCs w:val="20"/>
              </w:rPr>
            </w:pPr>
            <w:hyperlink r:id="rId127" w:history="1">
              <w:r w:rsidR="000C7C4E" w:rsidRPr="00C94273">
                <w:rPr>
                  <w:rStyle w:val="Hyperlink"/>
                  <w:sz w:val="20"/>
                  <w:szCs w:val="20"/>
                </w:rPr>
                <w:t>Global Wetland Outlook Technical Notes</w:t>
              </w:r>
            </w:hyperlink>
            <w:r w:rsidR="000C7C4E" w:rsidRPr="00C94273">
              <w:rPr>
                <w:sz w:val="20"/>
                <w:szCs w:val="20"/>
              </w:rPr>
              <w:t xml:space="preserve"> </w:t>
            </w:r>
          </w:p>
        </w:tc>
        <w:tc>
          <w:tcPr>
            <w:tcW w:w="1299" w:type="dxa"/>
          </w:tcPr>
          <w:p w:rsidR="000C7C4E" w:rsidRPr="00C94273" w:rsidRDefault="001802FC" w:rsidP="001802FC">
            <w:pPr>
              <w:rPr>
                <w:rFonts w:cs="Arial"/>
                <w:sz w:val="20"/>
                <w:szCs w:val="20"/>
              </w:rPr>
            </w:pPr>
            <w:r w:rsidRPr="00C94273">
              <w:rPr>
                <w:rFonts w:cs="Arial"/>
                <w:sz w:val="20"/>
                <w:szCs w:val="20"/>
              </w:rPr>
              <w:t>Scientific / technical</w:t>
            </w: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u w:val="single"/>
                <w:lang w:val="en-US"/>
              </w:rPr>
              <w:t>Summary</w:t>
            </w:r>
            <w:r w:rsidRPr="00C94273">
              <w:rPr>
                <w:sz w:val="20"/>
                <w:szCs w:val="20"/>
                <w:lang w:val="en-US"/>
              </w:rPr>
              <w:t xml:space="preserve">: </w:t>
            </w:r>
            <w:r w:rsidR="00A23C16" w:rsidRPr="00C94273">
              <w:rPr>
                <w:sz w:val="20"/>
                <w:szCs w:val="20"/>
                <w:lang w:val="en-US"/>
              </w:rPr>
              <w:t>“</w:t>
            </w:r>
            <w:r w:rsidRPr="00C94273">
              <w:rPr>
                <w:sz w:val="20"/>
                <w:szCs w:val="20"/>
                <w:lang w:val="en-US"/>
              </w:rPr>
              <w:t>The technical notes are complementary to the Global Wetland Outlook, consisting of supplemental details and references. They also may provide technical information to explain the analysis or methodology supporting findings published in the Global Wetland Outlook</w:t>
            </w:r>
            <w:r w:rsidR="00A23C16" w:rsidRPr="00C94273">
              <w:rPr>
                <w:sz w:val="20"/>
                <w:szCs w:val="20"/>
                <w:lang w:val="en-US"/>
              </w:rPr>
              <w:t>”</w:t>
            </w:r>
            <w:r w:rsidRPr="00C94273">
              <w:rPr>
                <w:sz w:val="20"/>
                <w:szCs w:val="20"/>
                <w:lang w:val="en-US"/>
              </w:rPr>
              <w:t>.</w:t>
            </w:r>
          </w:p>
        </w:tc>
      </w:tr>
      <w:tr w:rsidR="00762B18" w:rsidRPr="00C94273" w:rsidTr="00762B18">
        <w:trPr>
          <w:cantSplit/>
        </w:trPr>
        <w:tc>
          <w:tcPr>
            <w:tcW w:w="3062" w:type="dxa"/>
          </w:tcPr>
          <w:p w:rsidR="000C7C4E" w:rsidRPr="00C94273" w:rsidRDefault="001E728F" w:rsidP="001802FC">
            <w:pPr>
              <w:rPr>
                <w:sz w:val="20"/>
                <w:szCs w:val="20"/>
              </w:rPr>
            </w:pPr>
            <w:hyperlink r:id="rId128" w:history="1">
              <w:r w:rsidR="000C7C4E" w:rsidRPr="00C94273">
                <w:rPr>
                  <w:rStyle w:val="Hyperlink"/>
                  <w:sz w:val="20"/>
                  <w:szCs w:val="20"/>
                </w:rPr>
                <w:t>Ramsar Briefing Note 8: Ramsar Advisory Missions - Technical advice on Ramsar Sites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 xml:space="preserve">Practitioners </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rStyle w:val="Hyperlink"/>
                <w:sz w:val="20"/>
                <w:szCs w:val="20"/>
                <w:u w:val="none"/>
              </w:rPr>
            </w:pPr>
            <w:r w:rsidRPr="00C94273">
              <w:rPr>
                <w:sz w:val="20"/>
                <w:szCs w:val="20"/>
                <w:u w:val="single"/>
              </w:rPr>
              <w:t>Summary</w:t>
            </w:r>
            <w:r w:rsidRPr="00C94273">
              <w:rPr>
                <w:sz w:val="20"/>
                <w:szCs w:val="20"/>
              </w:rPr>
              <w:t xml:space="preserve">: </w:t>
            </w:r>
            <w:r w:rsidR="00A23C16" w:rsidRPr="00C94273">
              <w:rPr>
                <w:sz w:val="20"/>
                <w:szCs w:val="20"/>
              </w:rPr>
              <w:t>“</w:t>
            </w:r>
            <w:r w:rsidRPr="00C94273">
              <w:rPr>
                <w:sz w:val="20"/>
                <w:szCs w:val="20"/>
              </w:rPr>
              <w:t>This Briefing Note, which builds on the results of the comprehensive review and analysis of all RAM reports, provides general information to Ramsar Sites managers about RAMs, including their history and use. The Briefing Note also discusses the benefits of RAMs, offers examples of effective RAM applications and explains how a Contracting Party can request a RAM</w:t>
            </w:r>
            <w:r w:rsidR="00A23C16" w:rsidRPr="00C94273">
              <w:rPr>
                <w:sz w:val="20"/>
                <w:szCs w:val="20"/>
              </w:rPr>
              <w:t>”</w:t>
            </w:r>
            <w:r w:rsidRPr="00C94273">
              <w:rPr>
                <w:sz w:val="20"/>
                <w:szCs w:val="20"/>
              </w:rPr>
              <w:t>.</w:t>
            </w:r>
          </w:p>
        </w:tc>
      </w:tr>
      <w:tr w:rsidR="00762B18" w:rsidRPr="00C94273" w:rsidTr="00762B18">
        <w:trPr>
          <w:cantSplit/>
        </w:trPr>
        <w:tc>
          <w:tcPr>
            <w:tcW w:w="3062" w:type="dxa"/>
          </w:tcPr>
          <w:p w:rsidR="000C7C4E" w:rsidRPr="00C94273" w:rsidRDefault="001E728F" w:rsidP="001802FC">
            <w:pPr>
              <w:rPr>
                <w:sz w:val="20"/>
                <w:szCs w:val="20"/>
              </w:rPr>
            </w:pPr>
            <w:hyperlink r:id="rId129" w:history="1">
              <w:r w:rsidR="000C7C4E" w:rsidRPr="00C94273">
                <w:rPr>
                  <w:rStyle w:val="Hyperlink"/>
                  <w:sz w:val="20"/>
                  <w:szCs w:val="20"/>
                </w:rPr>
                <w:t>Ramsar Policy Brief 3: Ramsar Advisory Missions - A mechanism to respond to change in ecological character of Ramsar Sites</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p>
        </w:tc>
        <w:tc>
          <w:tcPr>
            <w:tcW w:w="2126" w:type="dxa"/>
          </w:tcPr>
          <w:p w:rsidR="000C7C4E" w:rsidRPr="00C94273" w:rsidRDefault="000C7C4E" w:rsidP="001802FC">
            <w:pPr>
              <w:rPr>
                <w:rFonts w:cs="Arial"/>
                <w:sz w:val="20"/>
                <w:szCs w:val="20"/>
              </w:rPr>
            </w:pPr>
            <w:r w:rsidRPr="00C94273">
              <w:rPr>
                <w:rFonts w:cs="Arial"/>
                <w:sz w:val="20"/>
                <w:szCs w:val="20"/>
              </w:rPr>
              <w:t>Policymakers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rStyle w:val="Hyperlink"/>
                <w:sz w:val="20"/>
                <w:szCs w:val="20"/>
                <w:u w:val="none"/>
              </w:rPr>
            </w:pPr>
            <w:r w:rsidRPr="00C94273">
              <w:rPr>
                <w:sz w:val="20"/>
                <w:szCs w:val="20"/>
                <w:u w:val="single"/>
                <w:lang w:val="en-AU"/>
              </w:rPr>
              <w:t>Summary</w:t>
            </w:r>
            <w:r w:rsidRPr="00C94273">
              <w:rPr>
                <w:sz w:val="20"/>
                <w:szCs w:val="20"/>
                <w:lang w:val="en-AU"/>
              </w:rPr>
              <w:t xml:space="preserve">: </w:t>
            </w:r>
            <w:r w:rsidRPr="00C94273">
              <w:rPr>
                <w:sz w:val="20"/>
                <w:szCs w:val="20"/>
              </w:rPr>
              <w:t xml:space="preserve">The </w:t>
            </w:r>
            <w:r w:rsidR="00A23C16" w:rsidRPr="00C94273">
              <w:rPr>
                <w:sz w:val="20"/>
                <w:szCs w:val="20"/>
              </w:rPr>
              <w:t>“</w:t>
            </w:r>
            <w:r w:rsidRPr="00C94273">
              <w:rPr>
                <w:sz w:val="20"/>
                <w:szCs w:val="20"/>
              </w:rPr>
              <w:t>Policy Brief seeks to assist Contracting Parties to the Convention and, more specifically, decision makers in Ramsar Administrative Authorities and National Focal Points in further understanding the RAM concept, the value of RAMs, as well as lessons learned on their effective application.</w:t>
            </w:r>
            <w:r w:rsidR="00A23C16" w:rsidRPr="00C94273">
              <w:rPr>
                <w:sz w:val="20"/>
                <w:szCs w:val="20"/>
              </w:rPr>
              <w:t>”</w:t>
            </w:r>
            <w:r w:rsidRPr="00C94273">
              <w:rPr>
                <w:sz w:val="20"/>
                <w:szCs w:val="20"/>
              </w:rPr>
              <w:t xml:space="preserve"> </w:t>
            </w:r>
          </w:p>
        </w:tc>
      </w:tr>
      <w:tr w:rsidR="00E602AE" w:rsidRPr="00C94273" w:rsidTr="0043685F">
        <w:trPr>
          <w:cantSplit/>
        </w:trPr>
        <w:tc>
          <w:tcPr>
            <w:tcW w:w="0" w:type="auto"/>
            <w:gridSpan w:val="6"/>
            <w:shd w:val="clear" w:color="auto" w:fill="FDE9D9" w:themeFill="accent6" w:themeFillTint="33"/>
          </w:tcPr>
          <w:p w:rsidR="004C228B" w:rsidRPr="00C94273" w:rsidRDefault="004C228B" w:rsidP="001802FC">
            <w:pPr>
              <w:rPr>
                <w:rStyle w:val="Hyperlink"/>
                <w:b/>
                <w:sz w:val="20"/>
                <w:szCs w:val="20"/>
                <w:u w:val="none"/>
              </w:rPr>
            </w:pPr>
            <w:r w:rsidRPr="00C94273">
              <w:rPr>
                <w:rStyle w:val="Hyperlink"/>
                <w:b/>
                <w:color w:val="auto"/>
                <w:sz w:val="20"/>
                <w:szCs w:val="20"/>
                <w:u w:val="none"/>
              </w:rPr>
              <w:t>Up to 2015</w:t>
            </w:r>
          </w:p>
        </w:tc>
      </w:tr>
      <w:tr w:rsidR="00762B18" w:rsidRPr="00C94273" w:rsidTr="00762B18">
        <w:trPr>
          <w:cantSplit/>
        </w:trPr>
        <w:tc>
          <w:tcPr>
            <w:tcW w:w="3062" w:type="dxa"/>
          </w:tcPr>
          <w:p w:rsidR="000C7C4E" w:rsidRPr="00C94273" w:rsidRDefault="001E728F" w:rsidP="001802FC">
            <w:pPr>
              <w:rPr>
                <w:sz w:val="20"/>
                <w:szCs w:val="20"/>
              </w:rPr>
            </w:pPr>
            <w:hyperlink r:id="rId130" w:history="1">
              <w:r w:rsidR="000C7C4E" w:rsidRPr="00C94273">
                <w:rPr>
                  <w:rStyle w:val="Hyperlink"/>
                  <w:sz w:val="20"/>
                  <w:szCs w:val="20"/>
                </w:rPr>
                <w:t>Resolution XI.7: Tourism, recreation and wetlands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840723">
            <w:pPr>
              <w:rPr>
                <w:rFonts w:cs="Arial"/>
                <w:sz w:val="20"/>
                <w:szCs w:val="20"/>
              </w:rPr>
            </w:pPr>
            <w:r w:rsidRPr="00C94273">
              <w:rPr>
                <w:rFonts w:cs="Arial"/>
                <w:sz w:val="20"/>
                <w:szCs w:val="20"/>
              </w:rPr>
              <w:t xml:space="preserve">Practitioners, </w:t>
            </w:r>
            <w:r w:rsidR="00840723" w:rsidRPr="00C94273">
              <w:rPr>
                <w:rFonts w:cs="Arial"/>
                <w:sz w:val="20"/>
                <w:szCs w:val="20"/>
              </w:rPr>
              <w:t>p</w:t>
            </w:r>
            <w:r w:rsidRPr="00C94273">
              <w:rPr>
                <w:rFonts w:cs="Arial"/>
                <w:sz w:val="20"/>
                <w:szCs w:val="20"/>
              </w:rPr>
              <w:t xml:space="preserve">olicymakers </w:t>
            </w:r>
          </w:p>
        </w:tc>
        <w:tc>
          <w:tcPr>
            <w:tcW w:w="1276" w:type="dxa"/>
          </w:tcPr>
          <w:p w:rsidR="000C7C4E" w:rsidRPr="00C94273" w:rsidRDefault="000C7C4E" w:rsidP="001802FC">
            <w:pPr>
              <w:rPr>
                <w:rFonts w:cs="Arial"/>
                <w:sz w:val="20"/>
                <w:szCs w:val="20"/>
              </w:rPr>
            </w:pPr>
            <w:r w:rsidRPr="00C94273">
              <w:rPr>
                <w:rFonts w:cs="Arial"/>
                <w:sz w:val="20"/>
                <w:szCs w:val="20"/>
              </w:rPr>
              <w:t>Not yet included in a Handbook</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r w:rsidRPr="00C94273">
              <w:rPr>
                <w:rStyle w:val="Hyperlink"/>
                <w:sz w:val="20"/>
                <w:szCs w:val="20"/>
                <w:u w:val="none"/>
              </w:rPr>
              <w:t xml:space="preserve"> </w:t>
            </w:r>
          </w:p>
        </w:tc>
      </w:tr>
      <w:tr w:rsidR="00762B18" w:rsidRPr="00C94273" w:rsidTr="00762B18">
        <w:trPr>
          <w:cantSplit/>
        </w:trPr>
        <w:tc>
          <w:tcPr>
            <w:tcW w:w="3062" w:type="dxa"/>
          </w:tcPr>
          <w:p w:rsidR="000C7C4E" w:rsidRPr="00C94273" w:rsidRDefault="001E728F" w:rsidP="001802FC">
            <w:pPr>
              <w:rPr>
                <w:sz w:val="20"/>
                <w:szCs w:val="20"/>
              </w:rPr>
            </w:pPr>
            <w:hyperlink r:id="rId131" w:history="1">
              <w:r w:rsidR="000C7C4E" w:rsidRPr="00C94273">
                <w:rPr>
                  <w:rStyle w:val="Hyperlink"/>
                  <w:sz w:val="20"/>
                  <w:szCs w:val="20"/>
                </w:rPr>
                <w:t>Resolution XI.9: An Integrated Framework and guidelines for avoiding, mitigating and compensating for wetland losses</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r w:rsidRPr="00C94273">
              <w:rPr>
                <w:rFonts w:cs="Arial"/>
                <w:sz w:val="20"/>
                <w:szCs w:val="20"/>
              </w:rPr>
              <w:t>Not yet included in a Handbook</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2" w:history="1">
              <w:r w:rsidR="000C7C4E" w:rsidRPr="00C94273">
                <w:rPr>
                  <w:rStyle w:val="Hyperlink"/>
                  <w:sz w:val="20"/>
                  <w:szCs w:val="20"/>
                </w:rPr>
                <w:t>Resolution XI.10: Wetlands and energy issues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r w:rsidRPr="00C94273">
              <w:rPr>
                <w:rFonts w:cs="Arial"/>
                <w:sz w:val="20"/>
                <w:szCs w:val="20"/>
              </w:rPr>
              <w:t>Not yet included in a Handbook</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3" w:history="1">
              <w:r w:rsidR="000C7C4E" w:rsidRPr="00C94273">
                <w:rPr>
                  <w:rStyle w:val="Hyperlink"/>
                  <w:sz w:val="20"/>
                  <w:szCs w:val="20"/>
                </w:rPr>
                <w:t xml:space="preserve">Resolution XI.11: Principles for the planning and management of urban and </w:t>
              </w:r>
              <w:proofErr w:type="spellStart"/>
              <w:r w:rsidR="000C7C4E" w:rsidRPr="00C94273">
                <w:rPr>
                  <w:rStyle w:val="Hyperlink"/>
                  <w:sz w:val="20"/>
                  <w:szCs w:val="20"/>
                </w:rPr>
                <w:t>peri</w:t>
              </w:r>
              <w:proofErr w:type="spellEnd"/>
              <w:r w:rsidR="000C7C4E" w:rsidRPr="00C94273">
                <w:rPr>
                  <w:rStyle w:val="Hyperlink"/>
                  <w:sz w:val="20"/>
                  <w:szCs w:val="20"/>
                </w:rPr>
                <w:t>-urban wetlands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r w:rsidRPr="00C94273">
              <w:rPr>
                <w:rFonts w:cs="Arial"/>
                <w:sz w:val="20"/>
                <w:szCs w:val="20"/>
              </w:rPr>
              <w:t>Not yet included in a Handbook</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4" w:history="1">
              <w:r w:rsidR="000C7C4E" w:rsidRPr="00C94273">
                <w:rPr>
                  <w:rStyle w:val="Hyperlink"/>
                  <w:sz w:val="20"/>
                  <w:szCs w:val="20"/>
                </w:rPr>
                <w:t>Resolution X.3: The Changwon Declaration on human well-being and wetlands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 xml:space="preserve">Policymakers, practitioners </w:t>
            </w:r>
          </w:p>
        </w:tc>
        <w:tc>
          <w:tcPr>
            <w:tcW w:w="1276" w:type="dxa"/>
          </w:tcPr>
          <w:p w:rsidR="000C7C4E" w:rsidRPr="00C94273" w:rsidRDefault="000C7C4E" w:rsidP="001802FC">
            <w:pPr>
              <w:rPr>
                <w:rFonts w:cs="Arial"/>
                <w:sz w:val="20"/>
                <w:szCs w:val="20"/>
              </w:rPr>
            </w:pPr>
            <w:r w:rsidRPr="00C94273">
              <w:rPr>
                <w:rFonts w:cs="Arial"/>
                <w:sz w:val="20"/>
                <w:szCs w:val="20"/>
              </w:rPr>
              <w:t>1</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5" w:history="1">
              <w:r w:rsidR="000C7C4E" w:rsidRPr="00C94273">
                <w:rPr>
                  <w:rStyle w:val="Hyperlink"/>
                  <w:sz w:val="20"/>
                  <w:szCs w:val="20"/>
                </w:rPr>
                <w:t>Resolution X.17: Environmental Impact Assessment and Strategic Environmental Assessment: updated scientific and technical guidance</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p>
        </w:tc>
        <w:tc>
          <w:tcPr>
            <w:tcW w:w="2126" w:type="dxa"/>
          </w:tcPr>
          <w:p w:rsidR="000C7C4E" w:rsidRPr="00C94273" w:rsidRDefault="000C7C4E" w:rsidP="001802FC">
            <w:pPr>
              <w:rPr>
                <w:rFonts w:cs="Arial"/>
                <w:sz w:val="20"/>
                <w:szCs w:val="20"/>
              </w:rPr>
            </w:pPr>
            <w:r w:rsidRPr="00C94273">
              <w:rPr>
                <w:rFonts w:cs="Arial"/>
                <w:sz w:val="20"/>
                <w:szCs w:val="20"/>
              </w:rPr>
              <w:t>Practitioners, policymakers</w:t>
            </w:r>
          </w:p>
        </w:tc>
        <w:tc>
          <w:tcPr>
            <w:tcW w:w="1276" w:type="dxa"/>
          </w:tcPr>
          <w:p w:rsidR="000C7C4E" w:rsidRPr="00C94273" w:rsidRDefault="000C7C4E" w:rsidP="001802FC">
            <w:pPr>
              <w:rPr>
                <w:rFonts w:cs="Arial"/>
                <w:sz w:val="20"/>
                <w:szCs w:val="20"/>
              </w:rPr>
            </w:pPr>
            <w:r w:rsidRPr="00C94273">
              <w:rPr>
                <w:rFonts w:cs="Arial"/>
                <w:sz w:val="20"/>
                <w:szCs w:val="20"/>
              </w:rPr>
              <w:t>16</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6" w:history="1">
              <w:r w:rsidR="000C7C4E" w:rsidRPr="00C94273">
                <w:rPr>
                  <w:rStyle w:val="Hyperlink"/>
                  <w:sz w:val="20"/>
                  <w:szCs w:val="20"/>
                </w:rPr>
                <w:t>Resolution X.19: Wetlands and river basin management: consolidated scientific and technical guidance</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r w:rsidRPr="00C94273">
              <w:rPr>
                <w:rFonts w:cs="Arial"/>
                <w:sz w:val="20"/>
                <w:szCs w:val="20"/>
              </w:rPr>
              <w:t>8, 9</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37" w:history="1">
              <w:r w:rsidR="000C7C4E" w:rsidRPr="00C94273">
                <w:rPr>
                  <w:rStyle w:val="Hyperlink"/>
                  <w:sz w:val="20"/>
                  <w:szCs w:val="20"/>
                </w:rPr>
                <w:t xml:space="preserve">Resolution IX.1, Annex </w:t>
              </w:r>
              <w:proofErr w:type="spellStart"/>
              <w:r w:rsidR="000C7C4E" w:rsidRPr="00C94273">
                <w:rPr>
                  <w:rStyle w:val="Hyperlink"/>
                  <w:sz w:val="20"/>
                  <w:szCs w:val="20"/>
                </w:rPr>
                <w:t>Cii</w:t>
              </w:r>
              <w:proofErr w:type="spellEnd"/>
              <w:r w:rsidR="000C7C4E" w:rsidRPr="00C94273">
                <w:rPr>
                  <w:rStyle w:val="Hyperlink"/>
                  <w:sz w:val="20"/>
                  <w:szCs w:val="20"/>
                </w:rPr>
                <w:t>: Guidelines for the management of groundwater to maintain wetland ecological character</w:t>
              </w:r>
            </w:hyperlink>
          </w:p>
        </w:tc>
        <w:tc>
          <w:tcPr>
            <w:tcW w:w="1299" w:type="dxa"/>
          </w:tcPr>
          <w:p w:rsidR="000C7C4E" w:rsidRPr="00C94273" w:rsidRDefault="000C7C4E" w:rsidP="001802FC">
            <w:pPr>
              <w:rPr>
                <w:rFonts w:cs="Arial"/>
                <w:sz w:val="20"/>
                <w:szCs w:val="20"/>
              </w:rPr>
            </w:pPr>
            <w:r w:rsidRPr="00C94273">
              <w:rPr>
                <w:rFonts w:cs="Arial"/>
                <w:sz w:val="20"/>
                <w:szCs w:val="20"/>
              </w:rPr>
              <w:t>Technical/ Scientific</w:t>
            </w:r>
          </w:p>
        </w:tc>
        <w:tc>
          <w:tcPr>
            <w:tcW w:w="2126" w:type="dxa"/>
          </w:tcPr>
          <w:p w:rsidR="000C7C4E" w:rsidRPr="00C94273" w:rsidRDefault="000C7C4E" w:rsidP="001802FC">
            <w:pPr>
              <w:rPr>
                <w:rFonts w:cs="Arial"/>
                <w:sz w:val="20"/>
                <w:szCs w:val="20"/>
              </w:rPr>
            </w:pPr>
            <w:r w:rsidRPr="00C94273">
              <w:rPr>
                <w:rFonts w:cs="Arial"/>
                <w:sz w:val="20"/>
                <w:szCs w:val="20"/>
              </w:rPr>
              <w:t>Practitioners, scientists</w:t>
            </w:r>
          </w:p>
        </w:tc>
        <w:tc>
          <w:tcPr>
            <w:tcW w:w="1276" w:type="dxa"/>
          </w:tcPr>
          <w:p w:rsidR="000C7C4E" w:rsidRPr="00C94273" w:rsidRDefault="000C7C4E" w:rsidP="001802FC">
            <w:pPr>
              <w:rPr>
                <w:rFonts w:cs="Arial"/>
                <w:sz w:val="20"/>
                <w:szCs w:val="20"/>
              </w:rPr>
            </w:pPr>
            <w:r w:rsidRPr="00C94273">
              <w:rPr>
                <w:rFonts w:cs="Arial"/>
                <w:sz w:val="20"/>
                <w:szCs w:val="20"/>
              </w:rPr>
              <w:t>11</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lang w:val="en"/>
              </w:rPr>
            </w:pPr>
          </w:p>
        </w:tc>
      </w:tr>
      <w:tr w:rsidR="00762B18" w:rsidRPr="00C94273" w:rsidTr="00762B18">
        <w:trPr>
          <w:cantSplit/>
        </w:trPr>
        <w:tc>
          <w:tcPr>
            <w:tcW w:w="3062" w:type="dxa"/>
          </w:tcPr>
          <w:p w:rsidR="000C7C4E" w:rsidRPr="00C94273" w:rsidRDefault="001E728F" w:rsidP="001802FC">
            <w:pPr>
              <w:rPr>
                <w:sz w:val="20"/>
                <w:szCs w:val="20"/>
              </w:rPr>
            </w:pPr>
            <w:hyperlink r:id="rId138" w:history="1">
              <w:r w:rsidR="000C7C4E" w:rsidRPr="00C94273">
                <w:rPr>
                  <w:rStyle w:val="Hyperlink"/>
                  <w:sz w:val="20"/>
                  <w:szCs w:val="20"/>
                </w:rPr>
                <w:t>Resolution IX.4: The Ramsar Convention and conservation, production and sustainable use of fisheries resources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1802FC" w:rsidP="001802FC">
            <w:pPr>
              <w:rPr>
                <w:rFonts w:cs="Arial"/>
                <w:sz w:val="20"/>
                <w:szCs w:val="20"/>
              </w:rPr>
            </w:pPr>
            <w:r w:rsidRPr="00C94273">
              <w:rPr>
                <w:rFonts w:cs="Arial"/>
                <w:sz w:val="20"/>
                <w:szCs w:val="20"/>
              </w:rPr>
              <w:t>Policymakers, practitioners</w:t>
            </w:r>
            <w:r w:rsidR="000C7C4E" w:rsidRPr="00C94273">
              <w:rPr>
                <w:rFonts w:cs="Arial"/>
                <w:sz w:val="20"/>
                <w:szCs w:val="20"/>
              </w:rPr>
              <w:t xml:space="preserve"> </w:t>
            </w:r>
          </w:p>
        </w:tc>
        <w:tc>
          <w:tcPr>
            <w:tcW w:w="1276" w:type="dxa"/>
          </w:tcPr>
          <w:p w:rsidR="000C7C4E" w:rsidRPr="00C94273" w:rsidRDefault="000C7C4E" w:rsidP="001802FC">
            <w:pPr>
              <w:rPr>
                <w:rFonts w:cs="Arial"/>
                <w:sz w:val="20"/>
                <w:szCs w:val="20"/>
              </w:rPr>
            </w:pPr>
            <w:r w:rsidRPr="00C94273">
              <w:rPr>
                <w:rFonts w:cs="Arial"/>
                <w:sz w:val="20"/>
                <w:szCs w:val="20"/>
              </w:rPr>
              <w:t>18</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lang w:val="en"/>
              </w:rPr>
            </w:pPr>
          </w:p>
        </w:tc>
      </w:tr>
      <w:tr w:rsidR="00762B18" w:rsidRPr="00C94273" w:rsidTr="00762B18">
        <w:trPr>
          <w:cantSplit/>
        </w:trPr>
        <w:tc>
          <w:tcPr>
            <w:tcW w:w="3062" w:type="dxa"/>
          </w:tcPr>
          <w:p w:rsidR="000C7C4E" w:rsidRPr="00C94273" w:rsidRDefault="001E728F" w:rsidP="001802FC">
            <w:pPr>
              <w:rPr>
                <w:sz w:val="20"/>
                <w:szCs w:val="20"/>
              </w:rPr>
            </w:pPr>
            <w:hyperlink r:id="rId139" w:history="1">
              <w:r w:rsidR="000C7C4E" w:rsidRPr="00C94273">
                <w:rPr>
                  <w:rStyle w:val="Hyperlink"/>
                  <w:sz w:val="20"/>
                  <w:szCs w:val="20"/>
                </w:rPr>
                <w:t>Resolution VIII.1: Guidelines for the allocation and management of water for maintaining the ecological functions of wetlands</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r w:rsidR="00762B18" w:rsidRPr="00C94273">
              <w:rPr>
                <w:rFonts w:cs="Arial"/>
                <w:sz w:val="20"/>
                <w:szCs w:val="20"/>
              </w:rPr>
              <w:t xml:space="preserve"> </w:t>
            </w:r>
            <w:r w:rsidRPr="00C94273">
              <w:rPr>
                <w:rFonts w:cs="Arial"/>
                <w:sz w:val="20"/>
                <w:szCs w:val="20"/>
              </w:rPr>
              <w:t>/</w:t>
            </w:r>
            <w:r w:rsidR="00762B18" w:rsidRPr="00C94273">
              <w:rPr>
                <w:rFonts w:cs="Arial"/>
                <w:sz w:val="20"/>
                <w:szCs w:val="20"/>
              </w:rPr>
              <w:t xml:space="preserve"> </w:t>
            </w:r>
            <w:r w:rsidRPr="00C94273">
              <w:rPr>
                <w:rFonts w:cs="Arial"/>
                <w:sz w:val="20"/>
                <w:szCs w:val="20"/>
              </w:rPr>
              <w:t xml:space="preserve">Scientific </w:t>
            </w:r>
          </w:p>
        </w:tc>
        <w:tc>
          <w:tcPr>
            <w:tcW w:w="2126" w:type="dxa"/>
          </w:tcPr>
          <w:p w:rsidR="000C7C4E" w:rsidRPr="00C94273" w:rsidRDefault="000C7C4E" w:rsidP="001802FC">
            <w:pPr>
              <w:rPr>
                <w:rFonts w:cs="Arial"/>
                <w:sz w:val="20"/>
                <w:szCs w:val="20"/>
              </w:rPr>
            </w:pPr>
            <w:r w:rsidRPr="00C94273">
              <w:rPr>
                <w:rFonts w:cs="Arial"/>
                <w:sz w:val="20"/>
                <w:szCs w:val="20"/>
              </w:rPr>
              <w:t>Practitioners, policymakers</w:t>
            </w:r>
          </w:p>
        </w:tc>
        <w:tc>
          <w:tcPr>
            <w:tcW w:w="1276" w:type="dxa"/>
          </w:tcPr>
          <w:p w:rsidR="000C7C4E" w:rsidRPr="00C94273" w:rsidRDefault="000C7C4E" w:rsidP="001802FC">
            <w:pPr>
              <w:rPr>
                <w:rFonts w:cs="Arial"/>
                <w:sz w:val="20"/>
                <w:szCs w:val="20"/>
              </w:rPr>
            </w:pPr>
            <w:r w:rsidRPr="00C94273">
              <w:rPr>
                <w:rFonts w:cs="Arial"/>
                <w:sz w:val="20"/>
                <w:szCs w:val="20"/>
              </w:rPr>
              <w:t>10</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lang w:val="en"/>
              </w:rPr>
            </w:pPr>
          </w:p>
        </w:tc>
      </w:tr>
      <w:tr w:rsidR="00762B18" w:rsidRPr="00C94273" w:rsidTr="00762B18">
        <w:trPr>
          <w:cantSplit/>
        </w:trPr>
        <w:tc>
          <w:tcPr>
            <w:tcW w:w="3062" w:type="dxa"/>
          </w:tcPr>
          <w:p w:rsidR="000C7C4E" w:rsidRPr="00C94273" w:rsidRDefault="001E728F" w:rsidP="001802FC">
            <w:pPr>
              <w:rPr>
                <w:sz w:val="20"/>
                <w:szCs w:val="20"/>
              </w:rPr>
            </w:pPr>
            <w:hyperlink r:id="rId140" w:history="1">
              <w:r w:rsidR="000C7C4E" w:rsidRPr="00C94273">
                <w:rPr>
                  <w:rStyle w:val="Hyperlink"/>
                  <w:sz w:val="20"/>
                  <w:szCs w:val="20"/>
                </w:rPr>
                <w:t>Resolution VIII.4: Wetland issues in Integrated Coastal Zone Management (ICZM)</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 xml:space="preserve">Policymakers, practitioners </w:t>
            </w:r>
          </w:p>
        </w:tc>
        <w:tc>
          <w:tcPr>
            <w:tcW w:w="1276" w:type="dxa"/>
          </w:tcPr>
          <w:p w:rsidR="000C7C4E" w:rsidRPr="00C94273" w:rsidRDefault="000C7C4E" w:rsidP="001802FC">
            <w:pPr>
              <w:rPr>
                <w:rFonts w:cs="Arial"/>
                <w:sz w:val="20"/>
                <w:szCs w:val="20"/>
              </w:rPr>
            </w:pPr>
            <w:r w:rsidRPr="00C94273">
              <w:rPr>
                <w:rFonts w:cs="Arial"/>
                <w:sz w:val="20"/>
                <w:szCs w:val="20"/>
              </w:rPr>
              <w:t>11</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lang w:val="en"/>
              </w:rPr>
            </w:pPr>
          </w:p>
        </w:tc>
      </w:tr>
      <w:tr w:rsidR="00762B18" w:rsidRPr="00C94273" w:rsidTr="00762B18">
        <w:trPr>
          <w:cantSplit/>
        </w:trPr>
        <w:tc>
          <w:tcPr>
            <w:tcW w:w="3062" w:type="dxa"/>
          </w:tcPr>
          <w:p w:rsidR="000C7C4E" w:rsidRPr="00C94273" w:rsidRDefault="001E728F" w:rsidP="001802FC">
            <w:pPr>
              <w:rPr>
                <w:sz w:val="20"/>
                <w:szCs w:val="20"/>
              </w:rPr>
            </w:pPr>
            <w:hyperlink r:id="rId141" w:history="1">
              <w:r w:rsidR="000C7C4E" w:rsidRPr="00C94273">
                <w:rPr>
                  <w:rStyle w:val="Hyperlink"/>
                  <w:sz w:val="20"/>
                  <w:szCs w:val="20"/>
                </w:rPr>
                <w:t>Resolution VIII.17: Guidelines for Global Action on Peatlands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 xml:space="preserve">Policymakers, practitioners </w:t>
            </w:r>
          </w:p>
        </w:tc>
        <w:tc>
          <w:tcPr>
            <w:tcW w:w="1276" w:type="dxa"/>
          </w:tcPr>
          <w:p w:rsidR="000C7C4E" w:rsidRPr="00C94273" w:rsidRDefault="000C7C4E" w:rsidP="001802FC">
            <w:pPr>
              <w:rPr>
                <w:rFonts w:cs="Arial"/>
                <w:sz w:val="20"/>
                <w:szCs w:val="20"/>
              </w:rPr>
            </w:pPr>
            <w:r w:rsidRPr="00C94273">
              <w:rPr>
                <w:rFonts w:cs="Arial"/>
                <w:sz w:val="20"/>
                <w:szCs w:val="20"/>
              </w:rPr>
              <w:t>15, 18</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42" w:history="1">
              <w:r w:rsidR="000C7C4E" w:rsidRPr="00C94273">
                <w:rPr>
                  <w:rStyle w:val="Hyperlink"/>
                  <w:sz w:val="20"/>
                  <w:szCs w:val="20"/>
                </w:rPr>
                <w:t>Resolution VII.7: Guidelines for reviewing laws and institutions to promote the conservation and wise use of wetlands</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p>
        </w:tc>
        <w:tc>
          <w:tcPr>
            <w:tcW w:w="2126" w:type="dxa"/>
          </w:tcPr>
          <w:p w:rsidR="000C7C4E" w:rsidRPr="00C94273" w:rsidRDefault="000C7C4E" w:rsidP="001802FC">
            <w:pPr>
              <w:rPr>
                <w:rFonts w:cs="Arial"/>
                <w:sz w:val="20"/>
                <w:szCs w:val="20"/>
              </w:rPr>
            </w:pPr>
            <w:r w:rsidRPr="00C94273">
              <w:rPr>
                <w:rFonts w:cs="Arial"/>
                <w:sz w:val="20"/>
                <w:szCs w:val="20"/>
              </w:rPr>
              <w:t>Policymakers</w:t>
            </w:r>
          </w:p>
        </w:tc>
        <w:tc>
          <w:tcPr>
            <w:tcW w:w="1276" w:type="dxa"/>
          </w:tcPr>
          <w:p w:rsidR="000C7C4E" w:rsidRPr="00C94273" w:rsidRDefault="000C7C4E" w:rsidP="001802FC">
            <w:pPr>
              <w:rPr>
                <w:rFonts w:cs="Arial"/>
                <w:sz w:val="20"/>
                <w:szCs w:val="20"/>
              </w:rPr>
            </w:pPr>
            <w:r w:rsidRPr="00C94273">
              <w:rPr>
                <w:rFonts w:cs="Arial"/>
                <w:sz w:val="20"/>
                <w:szCs w:val="20"/>
              </w:rPr>
              <w:t>3</w:t>
            </w:r>
          </w:p>
        </w:tc>
        <w:tc>
          <w:tcPr>
            <w:tcW w:w="1276" w:type="dxa"/>
          </w:tcPr>
          <w:p w:rsidR="000C7C4E" w:rsidRPr="00C94273" w:rsidRDefault="000C7C4E" w:rsidP="001802FC">
            <w:pPr>
              <w:rPr>
                <w:sz w:val="20"/>
                <w:szCs w:val="20"/>
              </w:rPr>
            </w:pPr>
            <w:r w:rsidRPr="00C94273">
              <w:rPr>
                <w:sz w:val="20"/>
                <w:szCs w:val="20"/>
              </w:rPr>
              <w:t>EFS</w:t>
            </w:r>
          </w:p>
        </w:tc>
        <w:tc>
          <w:tcPr>
            <w:tcW w:w="5135" w:type="dxa"/>
          </w:tcPr>
          <w:p w:rsidR="000C7C4E" w:rsidRPr="00C94273" w:rsidRDefault="000C7C4E" w:rsidP="001802FC">
            <w:pPr>
              <w:rPr>
                <w:sz w:val="20"/>
                <w:szCs w:val="20"/>
              </w:rPr>
            </w:pPr>
          </w:p>
        </w:tc>
      </w:tr>
      <w:tr w:rsidR="00762B18" w:rsidRPr="00C94273" w:rsidTr="00762B18">
        <w:trPr>
          <w:cantSplit/>
        </w:trPr>
        <w:tc>
          <w:tcPr>
            <w:tcW w:w="3062" w:type="dxa"/>
          </w:tcPr>
          <w:p w:rsidR="000C7C4E" w:rsidRPr="00C94273" w:rsidRDefault="001E728F" w:rsidP="001802FC">
            <w:pPr>
              <w:rPr>
                <w:sz w:val="20"/>
                <w:szCs w:val="20"/>
              </w:rPr>
            </w:pPr>
            <w:hyperlink r:id="rId143" w:history="1">
              <w:r w:rsidR="000C7C4E" w:rsidRPr="00C94273">
                <w:rPr>
                  <w:rStyle w:val="Hyperlink"/>
                  <w:sz w:val="20"/>
                  <w:szCs w:val="20"/>
                </w:rPr>
                <w:t>COP11 DOC. 28: Supporting information on wetlands and energy issues (</w:t>
              </w:r>
            </w:hyperlink>
            <w:r w:rsidR="000C7C4E" w:rsidRPr="00C94273">
              <w:rPr>
                <w:rStyle w:val="Hyperlink"/>
                <w:sz w:val="20"/>
                <w:szCs w:val="20"/>
              </w:rPr>
              <w:t xml:space="preserve"> Resolution XI.10)</w:t>
            </w:r>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u w:val="single"/>
              </w:rPr>
              <w:t>Summary:</w:t>
            </w:r>
            <w:r w:rsidRPr="00C94273">
              <w:rPr>
                <w:sz w:val="20"/>
                <w:szCs w:val="20"/>
              </w:rPr>
              <w:t xml:space="preserve"> “In the 2009-2012 work plan of the Scientific and Technical Review Panel (STRP) (Resolution X.10), the STRP was requested to ‘conduct a scoping review of the implications for wetlands of energy generation and distribution activities, covering both the conventional and renewable energy sectors, having regard to issues concerning climate change and wetlands, linking as appropriate to work done in relation to the task on extractive industries . . . and taking account of up-to-date evolving policy perspectives in these sectors and on issues of energy security in general.’ . . . That scoping review [was] prepared by the STRP during 2010-2011 . . . and is published . . . as a Ramsar Technical Report . . . . This Information Paper includes the executive summary of this Ramsar Technical Report . . . .”</w:t>
            </w:r>
          </w:p>
        </w:tc>
      </w:tr>
      <w:tr w:rsidR="00762B18" w:rsidRPr="00C94273" w:rsidTr="00762B18">
        <w:trPr>
          <w:cantSplit/>
        </w:trPr>
        <w:tc>
          <w:tcPr>
            <w:tcW w:w="3062" w:type="dxa"/>
          </w:tcPr>
          <w:p w:rsidR="000C7C4E" w:rsidRPr="00C94273" w:rsidRDefault="001E728F" w:rsidP="001802FC">
            <w:pPr>
              <w:rPr>
                <w:sz w:val="20"/>
                <w:szCs w:val="20"/>
              </w:rPr>
            </w:pPr>
            <w:hyperlink r:id="rId144" w:history="1">
              <w:r w:rsidR="000C7C4E" w:rsidRPr="00C94273">
                <w:rPr>
                  <w:rStyle w:val="Hyperlink"/>
                  <w:sz w:val="20"/>
                  <w:szCs w:val="20"/>
                </w:rPr>
                <w:t>Ramsar Advisory Mission reports</w:t>
              </w:r>
            </w:hyperlink>
          </w:p>
        </w:tc>
        <w:tc>
          <w:tcPr>
            <w:tcW w:w="1299" w:type="dxa"/>
          </w:tcPr>
          <w:p w:rsidR="000C7C4E" w:rsidRPr="00C94273" w:rsidRDefault="000C7C4E" w:rsidP="001802FC">
            <w:pPr>
              <w:rPr>
                <w:rFonts w:cs="Arial"/>
                <w:sz w:val="20"/>
                <w:szCs w:val="20"/>
              </w:rPr>
            </w:pPr>
            <w:r w:rsidRPr="00C94273">
              <w:rPr>
                <w:rFonts w:cs="Arial"/>
                <w:sz w:val="20"/>
                <w:szCs w:val="20"/>
              </w:rPr>
              <w:t>Technical</w:t>
            </w:r>
            <w:r w:rsidR="00762B18" w:rsidRPr="00C94273">
              <w:rPr>
                <w:rFonts w:cs="Arial"/>
                <w:sz w:val="20"/>
                <w:szCs w:val="20"/>
              </w:rPr>
              <w:t xml:space="preserve"> </w:t>
            </w:r>
            <w:r w:rsidRPr="00C94273">
              <w:rPr>
                <w:rFonts w:cs="Arial"/>
                <w:sz w:val="20"/>
                <w:szCs w:val="20"/>
              </w:rPr>
              <w:t>/</w:t>
            </w:r>
            <w:r w:rsidR="00762B18" w:rsidRPr="00C94273">
              <w:rPr>
                <w:rFonts w:cs="Arial"/>
                <w:sz w:val="20"/>
                <w:szCs w:val="20"/>
              </w:rPr>
              <w:t xml:space="preserve"> </w:t>
            </w:r>
            <w:r w:rsidRPr="00C94273">
              <w:rPr>
                <w:rFonts w:cs="Arial"/>
                <w:sz w:val="20"/>
                <w:szCs w:val="20"/>
              </w:rPr>
              <w:t xml:space="preserve">scientific </w:t>
            </w:r>
          </w:p>
        </w:tc>
        <w:tc>
          <w:tcPr>
            <w:tcW w:w="2126" w:type="dxa"/>
          </w:tcPr>
          <w:p w:rsidR="000C7C4E" w:rsidRPr="00C94273" w:rsidRDefault="000C7C4E" w:rsidP="001802FC">
            <w:pPr>
              <w:rPr>
                <w:rFonts w:cs="Arial"/>
                <w:sz w:val="20"/>
                <w:szCs w:val="20"/>
              </w:rPr>
            </w:pPr>
            <w:r w:rsidRPr="00C94273">
              <w:rPr>
                <w:rFonts w:cs="Arial"/>
                <w:sz w:val="20"/>
                <w:szCs w:val="20"/>
              </w:rPr>
              <w:t>Practitioners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Varies (E, F, and/or S)</w:t>
            </w:r>
          </w:p>
        </w:tc>
        <w:tc>
          <w:tcPr>
            <w:tcW w:w="5135" w:type="dxa"/>
          </w:tcPr>
          <w:p w:rsidR="000C7C4E" w:rsidRPr="00C94273" w:rsidRDefault="000C7C4E" w:rsidP="001802FC">
            <w:pPr>
              <w:rPr>
                <w:sz w:val="20"/>
                <w:szCs w:val="20"/>
              </w:rPr>
            </w:pPr>
            <w:r w:rsidRPr="00C94273">
              <w:rPr>
                <w:sz w:val="20"/>
                <w:szCs w:val="20"/>
                <w:u w:val="single"/>
              </w:rPr>
              <w:t>Summary</w:t>
            </w:r>
            <w:r w:rsidRPr="00C94273">
              <w:rPr>
                <w:sz w:val="20"/>
                <w:szCs w:val="20"/>
              </w:rPr>
              <w:t>: “Where a Ramsar Site’s ecological character is threatened, the Contracting Party can request a Ramsar Advisory Mission (RAM). . . . Typically a Mission consists of a visit by a team of two or more experts. . . . The team’s draft report is submitted for review by the Contracting Party, and the revised final report is then published. The findings and recommendations in the report can provide the basis for action at the Site, and possibly for subsequent financial assistance.”</w:t>
            </w:r>
          </w:p>
        </w:tc>
      </w:tr>
      <w:tr w:rsidR="00762B18" w:rsidRPr="00C94273" w:rsidTr="00762B18">
        <w:trPr>
          <w:cantSplit/>
        </w:trPr>
        <w:tc>
          <w:tcPr>
            <w:tcW w:w="3062" w:type="dxa"/>
          </w:tcPr>
          <w:p w:rsidR="000C7C4E" w:rsidRPr="00C94273" w:rsidRDefault="001E728F" w:rsidP="001802FC">
            <w:pPr>
              <w:rPr>
                <w:sz w:val="20"/>
                <w:szCs w:val="20"/>
              </w:rPr>
            </w:pPr>
            <w:hyperlink r:id="rId145" w:history="1">
              <w:r w:rsidR="000C7C4E" w:rsidRPr="00C94273">
                <w:rPr>
                  <w:rStyle w:val="Hyperlink"/>
                  <w:sz w:val="20"/>
                  <w:szCs w:val="20"/>
                </w:rPr>
                <w:t xml:space="preserve">STRP Briefing Note No. 6: Towards the wise use of urban and </w:t>
              </w:r>
              <w:proofErr w:type="spellStart"/>
              <w:r w:rsidR="000C7C4E" w:rsidRPr="00C94273">
                <w:rPr>
                  <w:rStyle w:val="Hyperlink"/>
                  <w:sz w:val="20"/>
                  <w:szCs w:val="20"/>
                </w:rPr>
                <w:t>peri</w:t>
              </w:r>
              <w:proofErr w:type="spellEnd"/>
              <w:r w:rsidR="000C7C4E" w:rsidRPr="00C94273">
                <w:rPr>
                  <w:rStyle w:val="Hyperlink"/>
                  <w:sz w:val="20"/>
                  <w:szCs w:val="20"/>
                </w:rPr>
                <w:t>-urban wetlands</w:t>
              </w:r>
            </w:hyperlink>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 practitioners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Fonts w:cs="Arial"/>
                <w:sz w:val="20"/>
                <w:szCs w:val="20"/>
              </w:rPr>
            </w:pPr>
            <w:r w:rsidRPr="00C94273">
              <w:rPr>
                <w:rFonts w:cs="Arial"/>
                <w:sz w:val="20"/>
                <w:szCs w:val="20"/>
                <w:u w:val="single"/>
              </w:rPr>
              <w:t>Summary:</w:t>
            </w:r>
            <w:r w:rsidRPr="00C94273">
              <w:rPr>
                <w:rFonts w:cs="Arial"/>
                <w:sz w:val="20"/>
                <w:szCs w:val="20"/>
              </w:rPr>
              <w:t xml:space="preserve"> “This Briefing Note expands on the principles for the planning and management of urban and </w:t>
            </w:r>
            <w:proofErr w:type="spellStart"/>
            <w:r w:rsidRPr="00C94273">
              <w:rPr>
                <w:rFonts w:cs="Arial"/>
                <w:sz w:val="20"/>
                <w:szCs w:val="20"/>
              </w:rPr>
              <w:t>peri</w:t>
            </w:r>
            <w:proofErr w:type="spellEnd"/>
            <w:r w:rsidRPr="00C94273">
              <w:rPr>
                <w:rFonts w:cs="Arial"/>
                <w:sz w:val="20"/>
                <w:szCs w:val="20"/>
              </w:rPr>
              <w:t>-urban wetlands agreed by the Contracting Parties to the Ramsar Convention, and aims to help managers and planners of towns and cities ensure the wise use of wetlands.”</w:t>
            </w:r>
          </w:p>
        </w:tc>
      </w:tr>
      <w:tr w:rsidR="00762B18" w:rsidRPr="00C94273" w:rsidTr="00762B18">
        <w:trPr>
          <w:cantSplit/>
        </w:trPr>
        <w:tc>
          <w:tcPr>
            <w:tcW w:w="3062" w:type="dxa"/>
          </w:tcPr>
          <w:p w:rsidR="000C7C4E" w:rsidRPr="00C94273" w:rsidRDefault="001E728F" w:rsidP="001802FC">
            <w:pPr>
              <w:rPr>
                <w:sz w:val="20"/>
                <w:szCs w:val="20"/>
              </w:rPr>
            </w:pPr>
            <w:hyperlink r:id="rId146" w:history="1">
              <w:r w:rsidR="000C7C4E" w:rsidRPr="00C94273">
                <w:rPr>
                  <w:rStyle w:val="Hyperlink"/>
                  <w:sz w:val="20"/>
                  <w:szCs w:val="20"/>
                </w:rPr>
                <w:t>Ramsar Technical Report No. 9: Determination and  implementation of environmental water requirements for estuaries</w:t>
              </w:r>
            </w:hyperlink>
          </w:p>
        </w:tc>
        <w:tc>
          <w:tcPr>
            <w:tcW w:w="1299" w:type="dxa"/>
          </w:tcPr>
          <w:p w:rsidR="000C7C4E" w:rsidRPr="00C94273" w:rsidRDefault="001802FC" w:rsidP="001802FC">
            <w:pPr>
              <w:rPr>
                <w:rFonts w:cs="Arial"/>
                <w:sz w:val="20"/>
                <w:szCs w:val="20"/>
              </w:rPr>
            </w:pPr>
            <w:r w:rsidRPr="00C94273">
              <w:rPr>
                <w:rFonts w:cs="Arial"/>
                <w:sz w:val="20"/>
                <w:szCs w:val="20"/>
              </w:rPr>
              <w:t>Scientific / technical</w:t>
            </w:r>
          </w:p>
        </w:tc>
        <w:tc>
          <w:tcPr>
            <w:tcW w:w="2126" w:type="dxa"/>
          </w:tcPr>
          <w:p w:rsidR="000C7C4E" w:rsidRPr="00C94273" w:rsidRDefault="001802FC" w:rsidP="001802FC">
            <w:pPr>
              <w:rPr>
                <w:rFonts w:cs="Arial"/>
                <w:sz w:val="20"/>
                <w:szCs w:val="20"/>
              </w:rPr>
            </w:pPr>
            <w:r w:rsidRPr="00C94273">
              <w:rPr>
                <w:rFonts w:cs="Arial"/>
                <w:sz w:val="20"/>
                <w:szCs w:val="20"/>
              </w:rPr>
              <w:t>Scientists / practitioners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Fonts w:cs="Arial"/>
                <w:sz w:val="20"/>
                <w:szCs w:val="20"/>
              </w:rPr>
            </w:pPr>
            <w:r w:rsidRPr="00C94273">
              <w:rPr>
                <w:rFonts w:cs="Arial"/>
                <w:sz w:val="20"/>
                <w:szCs w:val="20"/>
                <w:u w:val="single"/>
              </w:rPr>
              <w:t>Summary:</w:t>
            </w:r>
            <w:r w:rsidRPr="00C94273">
              <w:rPr>
                <w:rFonts w:cs="Arial"/>
                <w:sz w:val="20"/>
                <w:szCs w:val="20"/>
              </w:rPr>
              <w:t xml:space="preserve"> “This report provides a review of available methods for determining the environmental water requirements of estuaries, as well as a discussion of trends in method development and requirements for the successful implementation of environmental water requirements.”</w:t>
            </w:r>
          </w:p>
        </w:tc>
      </w:tr>
      <w:tr w:rsidR="00762B18" w:rsidRPr="00C94273" w:rsidTr="00762B18">
        <w:trPr>
          <w:cantSplit/>
        </w:trPr>
        <w:tc>
          <w:tcPr>
            <w:tcW w:w="3062" w:type="dxa"/>
          </w:tcPr>
          <w:p w:rsidR="000C7C4E" w:rsidRPr="00C94273" w:rsidRDefault="000C7C4E" w:rsidP="001802FC">
            <w:pPr>
              <w:rPr>
                <w:sz w:val="20"/>
                <w:szCs w:val="20"/>
              </w:rPr>
            </w:pPr>
            <w:r w:rsidRPr="00C94273">
              <w:rPr>
                <w:sz w:val="20"/>
                <w:szCs w:val="20"/>
              </w:rPr>
              <w:t>Internal Report: Change in ecological character of wetland sites – Ramsar guidance and mechanisms (2014)</w:t>
            </w:r>
          </w:p>
        </w:tc>
        <w:tc>
          <w:tcPr>
            <w:tcW w:w="1299" w:type="dxa"/>
          </w:tcPr>
          <w:p w:rsidR="000C7C4E" w:rsidRPr="00C94273" w:rsidRDefault="000C7C4E" w:rsidP="001802FC">
            <w:pPr>
              <w:rPr>
                <w:rFonts w:cs="Arial"/>
                <w:sz w:val="20"/>
                <w:szCs w:val="20"/>
              </w:rPr>
            </w:pPr>
            <w:r w:rsidRPr="00C94273">
              <w:rPr>
                <w:rFonts w:cs="Arial"/>
                <w:sz w:val="20"/>
                <w:szCs w:val="20"/>
              </w:rPr>
              <w:t xml:space="preserve">Technical </w:t>
            </w:r>
          </w:p>
        </w:tc>
        <w:tc>
          <w:tcPr>
            <w:tcW w:w="2126" w:type="dxa"/>
          </w:tcPr>
          <w:p w:rsidR="000C7C4E" w:rsidRPr="00C94273" w:rsidRDefault="000C7C4E" w:rsidP="001802FC">
            <w:pPr>
              <w:rPr>
                <w:rFonts w:cs="Arial"/>
                <w:sz w:val="20"/>
                <w:szCs w:val="20"/>
              </w:rPr>
            </w:pPr>
            <w:r w:rsidRPr="00C94273">
              <w:rPr>
                <w:rFonts w:cs="Arial"/>
                <w:sz w:val="20"/>
                <w:szCs w:val="20"/>
              </w:rPr>
              <w:t>Policymakers</w:t>
            </w: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Fonts w:cs="Arial"/>
                <w:sz w:val="20"/>
                <w:szCs w:val="20"/>
              </w:rPr>
            </w:pPr>
            <w:r w:rsidRPr="00C94273">
              <w:rPr>
                <w:rFonts w:cs="Arial"/>
                <w:sz w:val="20"/>
                <w:szCs w:val="20"/>
                <w:u w:val="single"/>
              </w:rPr>
              <w:t>Summary:</w:t>
            </w:r>
            <w:r w:rsidRPr="00C94273">
              <w:rPr>
                <w:rFonts w:cs="Arial"/>
                <w:sz w:val="20"/>
                <w:szCs w:val="20"/>
              </w:rPr>
              <w:t xml:space="preserve">  As noted in COP12 DOC.6, this report was prepared to deliver on tasks 20, 25, and 41 in 2013–2015 </w:t>
            </w:r>
            <w:proofErr w:type="gramStart"/>
            <w:r w:rsidRPr="00C94273">
              <w:rPr>
                <w:rFonts w:cs="Arial"/>
                <w:sz w:val="20"/>
                <w:szCs w:val="20"/>
              </w:rPr>
              <w:t>triennium</w:t>
            </w:r>
            <w:proofErr w:type="gramEnd"/>
            <w:r w:rsidRPr="00C94273">
              <w:rPr>
                <w:rFonts w:cs="Arial"/>
                <w:sz w:val="20"/>
                <w:szCs w:val="20"/>
              </w:rPr>
              <w:t>.</w:t>
            </w:r>
          </w:p>
        </w:tc>
      </w:tr>
      <w:tr w:rsidR="00E602AE" w:rsidRPr="00C94273" w:rsidTr="00762B18">
        <w:trPr>
          <w:cantSplit/>
        </w:trPr>
        <w:tc>
          <w:tcPr>
            <w:tcW w:w="0" w:type="auto"/>
            <w:gridSpan w:val="6"/>
            <w:shd w:val="clear" w:color="auto" w:fill="F2F2F2" w:themeFill="background1" w:themeFillShade="F2"/>
          </w:tcPr>
          <w:p w:rsidR="000C7C4E" w:rsidRPr="00C94273" w:rsidRDefault="000C7C4E" w:rsidP="001802FC">
            <w:pPr>
              <w:jc w:val="center"/>
              <w:rPr>
                <w:rFonts w:cs="Arial"/>
                <w:b/>
                <w:sz w:val="20"/>
                <w:szCs w:val="20"/>
              </w:rPr>
            </w:pPr>
            <w:r w:rsidRPr="00C94273">
              <w:rPr>
                <w:rFonts w:cs="Arial"/>
                <w:b/>
                <w:sz w:val="20"/>
                <w:szCs w:val="20"/>
              </w:rPr>
              <w:t>Other guidance</w:t>
            </w:r>
          </w:p>
        </w:tc>
      </w:tr>
      <w:tr w:rsidR="00E602AE" w:rsidRPr="00C94273" w:rsidTr="0043685F">
        <w:trPr>
          <w:cantSplit/>
        </w:trPr>
        <w:tc>
          <w:tcPr>
            <w:tcW w:w="0" w:type="auto"/>
            <w:gridSpan w:val="6"/>
            <w:shd w:val="clear" w:color="auto" w:fill="FDE9D9" w:themeFill="accent6" w:themeFillTint="33"/>
          </w:tcPr>
          <w:p w:rsidR="004C228B" w:rsidRPr="00C94273" w:rsidRDefault="004C228B" w:rsidP="001802FC">
            <w:pPr>
              <w:rPr>
                <w:rFonts w:cs="Arial"/>
                <w:b/>
                <w:sz w:val="20"/>
                <w:szCs w:val="20"/>
              </w:rPr>
            </w:pPr>
            <w:r w:rsidRPr="00C94273">
              <w:rPr>
                <w:b/>
                <w:sz w:val="20"/>
                <w:szCs w:val="20"/>
                <w:lang w:val="en-AU"/>
              </w:rPr>
              <w:t>2016-2019 update</w:t>
            </w:r>
          </w:p>
        </w:tc>
      </w:tr>
      <w:tr w:rsidR="00762B18" w:rsidRPr="00C94273" w:rsidTr="00762B18">
        <w:trPr>
          <w:cantSplit/>
        </w:trPr>
        <w:tc>
          <w:tcPr>
            <w:tcW w:w="3062" w:type="dxa"/>
          </w:tcPr>
          <w:p w:rsidR="00781C64" w:rsidRPr="00C94273" w:rsidRDefault="001E728F" w:rsidP="001802FC">
            <w:pPr>
              <w:rPr>
                <w:sz w:val="20"/>
                <w:szCs w:val="20"/>
              </w:rPr>
            </w:pPr>
            <w:hyperlink r:id="rId147" w:history="1">
              <w:r w:rsidR="00781C64" w:rsidRPr="00C94273">
                <w:rPr>
                  <w:rStyle w:val="Hyperlink"/>
                  <w:sz w:val="20"/>
                  <w:szCs w:val="20"/>
                </w:rPr>
                <w:t>Wetlands and the SDGs</w:t>
              </w:r>
            </w:hyperlink>
          </w:p>
        </w:tc>
        <w:tc>
          <w:tcPr>
            <w:tcW w:w="1299" w:type="dxa"/>
          </w:tcPr>
          <w:p w:rsidR="00781C64" w:rsidRPr="00C94273" w:rsidRDefault="00781C64" w:rsidP="001802FC">
            <w:pPr>
              <w:rPr>
                <w:rFonts w:cs="Arial"/>
                <w:sz w:val="20"/>
                <w:szCs w:val="20"/>
              </w:rPr>
            </w:pPr>
          </w:p>
        </w:tc>
        <w:tc>
          <w:tcPr>
            <w:tcW w:w="2126" w:type="dxa"/>
          </w:tcPr>
          <w:p w:rsidR="00781C64" w:rsidRPr="00C94273" w:rsidRDefault="00781C64" w:rsidP="001802FC">
            <w:pPr>
              <w:rPr>
                <w:rFonts w:cs="Arial"/>
                <w:sz w:val="20"/>
                <w:szCs w:val="20"/>
              </w:rPr>
            </w:pPr>
          </w:p>
        </w:tc>
        <w:tc>
          <w:tcPr>
            <w:tcW w:w="1276" w:type="dxa"/>
          </w:tcPr>
          <w:p w:rsidR="00781C64" w:rsidRPr="00C94273" w:rsidRDefault="00781C64" w:rsidP="001802FC">
            <w:pPr>
              <w:rPr>
                <w:rFonts w:cs="Arial"/>
                <w:sz w:val="20"/>
                <w:szCs w:val="20"/>
              </w:rPr>
            </w:pPr>
          </w:p>
        </w:tc>
        <w:tc>
          <w:tcPr>
            <w:tcW w:w="1276" w:type="dxa"/>
          </w:tcPr>
          <w:p w:rsidR="00781C64" w:rsidRPr="00C94273" w:rsidRDefault="00781C64" w:rsidP="001802FC">
            <w:pPr>
              <w:rPr>
                <w:sz w:val="20"/>
                <w:szCs w:val="20"/>
              </w:rPr>
            </w:pPr>
            <w:r w:rsidRPr="00C94273">
              <w:rPr>
                <w:sz w:val="20"/>
                <w:szCs w:val="20"/>
              </w:rPr>
              <w:t>EFS</w:t>
            </w:r>
          </w:p>
        </w:tc>
        <w:tc>
          <w:tcPr>
            <w:tcW w:w="5135" w:type="dxa"/>
          </w:tcPr>
          <w:p w:rsidR="00781C64" w:rsidRPr="00C94273" w:rsidRDefault="00781C64" w:rsidP="001802FC">
            <w:pPr>
              <w:rPr>
                <w:rStyle w:val="Hyperlink"/>
                <w:color w:val="auto"/>
                <w:sz w:val="20"/>
                <w:szCs w:val="20"/>
                <w:u w:val="none"/>
              </w:rPr>
            </w:pPr>
            <w:r w:rsidRPr="00C94273">
              <w:rPr>
                <w:rStyle w:val="Hyperlink"/>
                <w:color w:val="auto"/>
                <w:sz w:val="20"/>
                <w:szCs w:val="20"/>
                <w:u w:val="none"/>
              </w:rPr>
              <w:t>Ramsar Secretariat report:</w:t>
            </w:r>
          </w:p>
          <w:p w:rsidR="00781C64" w:rsidRPr="00C94273" w:rsidRDefault="00781C64" w:rsidP="001802FC">
            <w:pPr>
              <w:rPr>
                <w:rStyle w:val="Hyperlink"/>
                <w:color w:val="auto"/>
                <w:sz w:val="20"/>
                <w:szCs w:val="20"/>
              </w:rPr>
            </w:pPr>
            <w:r w:rsidRPr="00C94273">
              <w:rPr>
                <w:rStyle w:val="Hyperlink"/>
                <w:color w:val="auto"/>
                <w:sz w:val="20"/>
                <w:szCs w:val="20"/>
              </w:rPr>
              <w:t>Summary:</w:t>
            </w:r>
            <w:r w:rsidR="00D023F2" w:rsidRPr="00C94273">
              <w:rPr>
                <w:rStyle w:val="Hyperlink"/>
                <w:color w:val="auto"/>
                <w:sz w:val="20"/>
                <w:szCs w:val="20"/>
              </w:rPr>
              <w:t xml:space="preserve"> </w:t>
            </w:r>
            <w:r w:rsidR="00A23C16" w:rsidRPr="00C94273">
              <w:rPr>
                <w:rStyle w:val="Hyperlink"/>
                <w:color w:val="auto"/>
                <w:sz w:val="20"/>
                <w:szCs w:val="20"/>
                <w:u w:val="none"/>
              </w:rPr>
              <w:t>“</w:t>
            </w:r>
            <w:r w:rsidRPr="00C94273">
              <w:rPr>
                <w:rStyle w:val="Hyperlink"/>
                <w:color w:val="auto"/>
                <w:sz w:val="20"/>
                <w:szCs w:val="20"/>
                <w:u w:val="none"/>
              </w:rPr>
              <w:t>This report highlights the critical role of we</w:t>
            </w:r>
            <w:r w:rsidR="00A23C16" w:rsidRPr="00C94273">
              <w:rPr>
                <w:rStyle w:val="Hyperlink"/>
                <w:color w:val="auto"/>
                <w:sz w:val="20"/>
                <w:szCs w:val="20"/>
                <w:u w:val="none"/>
              </w:rPr>
              <w:t xml:space="preserve">tlands in relation to the SDGs … and </w:t>
            </w:r>
            <w:r w:rsidRPr="00C94273">
              <w:rPr>
                <w:rStyle w:val="Hyperlink"/>
                <w:color w:val="auto"/>
                <w:sz w:val="20"/>
                <w:szCs w:val="20"/>
                <w:u w:val="none"/>
              </w:rPr>
              <w:t>underscores the importance of conserving, using wisely and restoring this precious resource</w:t>
            </w:r>
            <w:r w:rsidR="00A23C16" w:rsidRPr="00C94273">
              <w:rPr>
                <w:rStyle w:val="Hyperlink"/>
                <w:color w:val="auto"/>
                <w:sz w:val="20"/>
                <w:szCs w:val="20"/>
                <w:u w:val="none"/>
              </w:rPr>
              <w:t>”</w:t>
            </w:r>
            <w:r w:rsidRPr="00C94273">
              <w:rPr>
                <w:rStyle w:val="Hyperlink"/>
                <w:color w:val="auto"/>
                <w:sz w:val="20"/>
                <w:szCs w:val="20"/>
                <w:u w:val="none"/>
              </w:rPr>
              <w:t>.</w:t>
            </w:r>
          </w:p>
        </w:tc>
      </w:tr>
      <w:tr w:rsidR="00762B18" w:rsidRPr="00C94273" w:rsidTr="00762B18">
        <w:trPr>
          <w:cantSplit/>
        </w:trPr>
        <w:tc>
          <w:tcPr>
            <w:tcW w:w="3062" w:type="dxa"/>
          </w:tcPr>
          <w:p w:rsidR="00747D8D" w:rsidRPr="00C94273" w:rsidRDefault="001E728F" w:rsidP="001802FC">
            <w:pPr>
              <w:rPr>
                <w:sz w:val="20"/>
                <w:szCs w:val="20"/>
              </w:rPr>
            </w:pPr>
            <w:hyperlink r:id="rId148" w:history="1">
              <w:r w:rsidR="00275B0D" w:rsidRPr="00C94273">
                <w:rPr>
                  <w:rStyle w:val="Hyperlink"/>
                  <w:sz w:val="20"/>
                  <w:szCs w:val="20"/>
                </w:rPr>
                <w:t>Global Land Outlook</w:t>
              </w:r>
            </w:hyperlink>
            <w:r w:rsidR="00747D8D" w:rsidRPr="00C94273">
              <w:rPr>
                <w:sz w:val="20"/>
                <w:szCs w:val="20"/>
              </w:rPr>
              <w:t xml:space="preserve"> </w:t>
            </w:r>
          </w:p>
        </w:tc>
        <w:tc>
          <w:tcPr>
            <w:tcW w:w="1299" w:type="dxa"/>
          </w:tcPr>
          <w:p w:rsidR="00747D8D" w:rsidRPr="00C94273" w:rsidRDefault="00747D8D" w:rsidP="001802FC">
            <w:pPr>
              <w:rPr>
                <w:rFonts w:cs="Arial"/>
                <w:sz w:val="20"/>
                <w:szCs w:val="20"/>
              </w:rPr>
            </w:pPr>
          </w:p>
        </w:tc>
        <w:tc>
          <w:tcPr>
            <w:tcW w:w="2126" w:type="dxa"/>
          </w:tcPr>
          <w:p w:rsidR="00747D8D" w:rsidRPr="00C94273" w:rsidRDefault="00747D8D" w:rsidP="001802FC">
            <w:pPr>
              <w:rPr>
                <w:rFonts w:cs="Arial"/>
                <w:sz w:val="20"/>
                <w:szCs w:val="20"/>
              </w:rPr>
            </w:pPr>
          </w:p>
        </w:tc>
        <w:tc>
          <w:tcPr>
            <w:tcW w:w="1276" w:type="dxa"/>
          </w:tcPr>
          <w:p w:rsidR="00747D8D" w:rsidRPr="00C94273" w:rsidRDefault="00747D8D" w:rsidP="001802FC">
            <w:pPr>
              <w:rPr>
                <w:rFonts w:cs="Arial"/>
                <w:sz w:val="20"/>
                <w:szCs w:val="20"/>
              </w:rPr>
            </w:pPr>
          </w:p>
        </w:tc>
        <w:tc>
          <w:tcPr>
            <w:tcW w:w="1276" w:type="dxa"/>
          </w:tcPr>
          <w:p w:rsidR="00747D8D" w:rsidRPr="00C94273" w:rsidRDefault="00747D8D" w:rsidP="001802FC">
            <w:pPr>
              <w:rPr>
                <w:sz w:val="20"/>
                <w:szCs w:val="20"/>
              </w:rPr>
            </w:pPr>
            <w:r w:rsidRPr="00C94273">
              <w:rPr>
                <w:sz w:val="20"/>
                <w:szCs w:val="20"/>
              </w:rPr>
              <w:t>EFSRAC</w:t>
            </w:r>
          </w:p>
        </w:tc>
        <w:tc>
          <w:tcPr>
            <w:tcW w:w="5135" w:type="dxa"/>
          </w:tcPr>
          <w:p w:rsidR="00747D8D" w:rsidRPr="00C94273" w:rsidRDefault="00747D8D" w:rsidP="001802FC">
            <w:pPr>
              <w:rPr>
                <w:rStyle w:val="Hyperlink"/>
                <w:color w:val="auto"/>
                <w:sz w:val="20"/>
                <w:szCs w:val="20"/>
                <w:u w:val="none"/>
              </w:rPr>
            </w:pPr>
            <w:r w:rsidRPr="00C94273">
              <w:rPr>
                <w:rStyle w:val="Hyperlink"/>
                <w:color w:val="auto"/>
                <w:sz w:val="20"/>
                <w:szCs w:val="20"/>
                <w:u w:val="none"/>
              </w:rPr>
              <w:t>UNCCCD</w:t>
            </w:r>
          </w:p>
          <w:p w:rsidR="00747D8D" w:rsidRPr="00C94273" w:rsidRDefault="00747D8D" w:rsidP="001802FC">
            <w:pPr>
              <w:rPr>
                <w:rStyle w:val="Hyperlink"/>
                <w:color w:val="auto"/>
                <w:sz w:val="20"/>
                <w:szCs w:val="20"/>
              </w:rPr>
            </w:pPr>
            <w:r w:rsidRPr="00C94273">
              <w:rPr>
                <w:rStyle w:val="Hyperlink"/>
                <w:color w:val="auto"/>
                <w:sz w:val="20"/>
                <w:szCs w:val="20"/>
              </w:rPr>
              <w:t xml:space="preserve">Summary: </w:t>
            </w:r>
            <w:r w:rsidR="00275B0D" w:rsidRPr="00C94273">
              <w:rPr>
                <w:rStyle w:val="Hyperlink"/>
                <w:color w:val="auto"/>
                <w:sz w:val="20"/>
                <w:szCs w:val="20"/>
              </w:rPr>
              <w:t>“The GLO presents an overview of the status of land and a clear set of responses to optimize land use, management, and planning, and thereby create synergies among sectors in the provision of land-based goods and services.”</w:t>
            </w:r>
          </w:p>
        </w:tc>
      </w:tr>
      <w:tr w:rsidR="00762B18" w:rsidRPr="00C94273" w:rsidTr="00762B18">
        <w:trPr>
          <w:cantSplit/>
        </w:trPr>
        <w:tc>
          <w:tcPr>
            <w:tcW w:w="3062" w:type="dxa"/>
          </w:tcPr>
          <w:p w:rsidR="007B11D5" w:rsidRPr="00C94273" w:rsidRDefault="001E728F" w:rsidP="001802FC">
            <w:pPr>
              <w:rPr>
                <w:sz w:val="20"/>
                <w:szCs w:val="20"/>
              </w:rPr>
            </w:pPr>
            <w:hyperlink r:id="rId149" w:history="1">
              <w:r w:rsidR="007B11D5" w:rsidRPr="00C94273">
                <w:rPr>
                  <w:rStyle w:val="Hyperlink"/>
                  <w:sz w:val="20"/>
                  <w:szCs w:val="20"/>
                </w:rPr>
                <w:t>Good practices handbook – Integrating urban development and wetland conservation</w:t>
              </w:r>
            </w:hyperlink>
          </w:p>
        </w:tc>
        <w:tc>
          <w:tcPr>
            <w:tcW w:w="1299" w:type="dxa"/>
          </w:tcPr>
          <w:p w:rsidR="007B11D5" w:rsidRPr="00C94273" w:rsidRDefault="007B11D5" w:rsidP="001802FC">
            <w:pPr>
              <w:rPr>
                <w:rFonts w:cs="Arial"/>
                <w:sz w:val="20"/>
                <w:szCs w:val="20"/>
              </w:rPr>
            </w:pPr>
          </w:p>
        </w:tc>
        <w:tc>
          <w:tcPr>
            <w:tcW w:w="2126" w:type="dxa"/>
          </w:tcPr>
          <w:p w:rsidR="007B11D5" w:rsidRPr="00C94273" w:rsidRDefault="007B11D5" w:rsidP="001802FC">
            <w:pPr>
              <w:rPr>
                <w:rFonts w:cs="Arial"/>
                <w:sz w:val="20"/>
                <w:szCs w:val="20"/>
              </w:rPr>
            </w:pPr>
          </w:p>
        </w:tc>
        <w:tc>
          <w:tcPr>
            <w:tcW w:w="1276" w:type="dxa"/>
          </w:tcPr>
          <w:p w:rsidR="007B11D5" w:rsidRPr="00C94273" w:rsidRDefault="007B11D5" w:rsidP="001802FC">
            <w:pPr>
              <w:rPr>
                <w:rFonts w:cs="Arial"/>
                <w:sz w:val="20"/>
                <w:szCs w:val="20"/>
              </w:rPr>
            </w:pPr>
          </w:p>
        </w:tc>
        <w:tc>
          <w:tcPr>
            <w:tcW w:w="1276" w:type="dxa"/>
          </w:tcPr>
          <w:p w:rsidR="007B11D5" w:rsidRPr="00C94273" w:rsidRDefault="007B11D5" w:rsidP="001802FC">
            <w:pPr>
              <w:rPr>
                <w:sz w:val="20"/>
                <w:szCs w:val="20"/>
              </w:rPr>
            </w:pPr>
            <w:r w:rsidRPr="00C94273">
              <w:rPr>
                <w:sz w:val="20"/>
                <w:szCs w:val="20"/>
              </w:rPr>
              <w:t>E</w:t>
            </w:r>
            <w:r w:rsidR="00D057A7" w:rsidRPr="00C94273">
              <w:rPr>
                <w:sz w:val="20"/>
                <w:szCs w:val="20"/>
              </w:rPr>
              <w:t>C</w:t>
            </w:r>
          </w:p>
        </w:tc>
        <w:tc>
          <w:tcPr>
            <w:tcW w:w="5135" w:type="dxa"/>
          </w:tcPr>
          <w:p w:rsidR="007B11D5" w:rsidRPr="00C94273" w:rsidRDefault="00D057A7" w:rsidP="001802FC">
            <w:pPr>
              <w:rPr>
                <w:rStyle w:val="Hyperlink"/>
                <w:color w:val="auto"/>
                <w:sz w:val="20"/>
                <w:szCs w:val="20"/>
                <w:u w:val="none"/>
              </w:rPr>
            </w:pPr>
            <w:r w:rsidRPr="00C94273">
              <w:rPr>
                <w:rStyle w:val="Hyperlink"/>
                <w:color w:val="auto"/>
                <w:sz w:val="20"/>
                <w:szCs w:val="20"/>
                <w:u w:val="none"/>
              </w:rPr>
              <w:t>WWT</w:t>
            </w:r>
          </w:p>
          <w:p w:rsidR="007B11D5" w:rsidRPr="00C94273" w:rsidRDefault="007B11D5"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w:t>
            </w:r>
            <w:r w:rsidR="00C33271" w:rsidRPr="00C94273">
              <w:rPr>
                <w:rStyle w:val="Hyperlink"/>
                <w:color w:val="auto"/>
                <w:sz w:val="20"/>
                <w:szCs w:val="20"/>
                <w:u w:val="none"/>
              </w:rPr>
              <w:t xml:space="preserve"> “provides guidance to individuals, businesses, organizations or government involved in the design, planning, management and/or construction of urban wetlands”.</w:t>
            </w:r>
          </w:p>
        </w:tc>
      </w:tr>
      <w:tr w:rsidR="00762B18" w:rsidRPr="00C94273" w:rsidTr="00762B18">
        <w:trPr>
          <w:cantSplit/>
        </w:trPr>
        <w:tc>
          <w:tcPr>
            <w:tcW w:w="3062" w:type="dxa"/>
          </w:tcPr>
          <w:p w:rsidR="00CE5E9A" w:rsidRPr="00C94273" w:rsidRDefault="001E728F" w:rsidP="001802FC">
            <w:pPr>
              <w:rPr>
                <w:sz w:val="20"/>
                <w:szCs w:val="20"/>
              </w:rPr>
            </w:pPr>
            <w:hyperlink r:id="rId150" w:history="1">
              <w:r w:rsidR="00385CCE" w:rsidRPr="00C94273">
                <w:rPr>
                  <w:rStyle w:val="Hyperlink"/>
                  <w:sz w:val="20"/>
                  <w:szCs w:val="20"/>
                </w:rPr>
                <w:t>Mediterranean Wetlands Outlook 2: Solutions for sustainable Mediterranean Wetlands – 2018</w:t>
              </w:r>
            </w:hyperlink>
          </w:p>
        </w:tc>
        <w:tc>
          <w:tcPr>
            <w:tcW w:w="1299" w:type="dxa"/>
          </w:tcPr>
          <w:p w:rsidR="00CE5E9A" w:rsidRPr="00C94273" w:rsidRDefault="00CE5E9A" w:rsidP="001802FC">
            <w:pPr>
              <w:rPr>
                <w:rFonts w:cs="Arial"/>
                <w:sz w:val="20"/>
                <w:szCs w:val="20"/>
              </w:rPr>
            </w:pPr>
          </w:p>
        </w:tc>
        <w:tc>
          <w:tcPr>
            <w:tcW w:w="2126" w:type="dxa"/>
          </w:tcPr>
          <w:p w:rsidR="00CE5E9A" w:rsidRPr="00C94273" w:rsidRDefault="00CE5E9A" w:rsidP="001802FC">
            <w:pPr>
              <w:rPr>
                <w:rFonts w:cs="Arial"/>
                <w:sz w:val="20"/>
                <w:szCs w:val="20"/>
              </w:rPr>
            </w:pPr>
          </w:p>
        </w:tc>
        <w:tc>
          <w:tcPr>
            <w:tcW w:w="1276" w:type="dxa"/>
          </w:tcPr>
          <w:p w:rsidR="00CE5E9A" w:rsidRPr="00C94273" w:rsidRDefault="00CE5E9A" w:rsidP="001802FC">
            <w:pPr>
              <w:rPr>
                <w:rFonts w:cs="Arial"/>
                <w:sz w:val="20"/>
                <w:szCs w:val="20"/>
              </w:rPr>
            </w:pPr>
          </w:p>
        </w:tc>
        <w:tc>
          <w:tcPr>
            <w:tcW w:w="1276" w:type="dxa"/>
          </w:tcPr>
          <w:p w:rsidR="00CE5E9A" w:rsidRPr="00C94273" w:rsidRDefault="008C4354" w:rsidP="001802FC">
            <w:pPr>
              <w:rPr>
                <w:sz w:val="20"/>
                <w:szCs w:val="20"/>
              </w:rPr>
            </w:pPr>
            <w:r w:rsidRPr="00C94273">
              <w:rPr>
                <w:sz w:val="20"/>
                <w:szCs w:val="20"/>
              </w:rPr>
              <w:t>EF</w:t>
            </w:r>
          </w:p>
        </w:tc>
        <w:tc>
          <w:tcPr>
            <w:tcW w:w="5135" w:type="dxa"/>
          </w:tcPr>
          <w:p w:rsidR="00CE5E9A" w:rsidRPr="00C94273" w:rsidRDefault="008C4354" w:rsidP="001802FC">
            <w:pPr>
              <w:rPr>
                <w:rStyle w:val="Hyperlink"/>
                <w:color w:val="auto"/>
                <w:sz w:val="20"/>
                <w:szCs w:val="20"/>
                <w:u w:val="none"/>
              </w:rPr>
            </w:pPr>
            <w:proofErr w:type="spellStart"/>
            <w:r w:rsidRPr="00C94273">
              <w:rPr>
                <w:rStyle w:val="Hyperlink"/>
                <w:color w:val="auto"/>
                <w:sz w:val="20"/>
                <w:szCs w:val="20"/>
                <w:u w:val="none"/>
              </w:rPr>
              <w:t>MedWet</w:t>
            </w:r>
            <w:proofErr w:type="spellEnd"/>
          </w:p>
          <w:p w:rsidR="008C4354" w:rsidRPr="00C94273" w:rsidRDefault="008C4354"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“The MWO2 updates the situation for Mediterranean wetlands since 2012, the year of publication of the MWO1, which was the first regional indicator-based assessment of the status of wetlands and the challenges that they face. This MWO-2, through its 16 indicator factsheets, provides regional support to the findings of the Ramsar Convention’s first Global Wetland Outlook (GWO): the State of the World’s Wetlands, to be issued at the 13th Meeting of Conference of the Contracting Parties to the Convention (COP13, Dubai, 21-29 October 2018)”.</w:t>
            </w:r>
          </w:p>
        </w:tc>
      </w:tr>
      <w:tr w:rsidR="00762B18" w:rsidRPr="00C94273" w:rsidTr="00762B18">
        <w:trPr>
          <w:cantSplit/>
        </w:trPr>
        <w:tc>
          <w:tcPr>
            <w:tcW w:w="3062" w:type="dxa"/>
          </w:tcPr>
          <w:p w:rsidR="002E1F75" w:rsidRPr="00C94273" w:rsidRDefault="001E728F" w:rsidP="001802FC">
            <w:pPr>
              <w:rPr>
                <w:sz w:val="20"/>
                <w:szCs w:val="20"/>
              </w:rPr>
            </w:pPr>
            <w:hyperlink r:id="rId151" w:history="1">
              <w:r w:rsidR="00385CCE" w:rsidRPr="00C94273">
                <w:rPr>
                  <w:rStyle w:val="Hyperlink"/>
                  <w:sz w:val="20"/>
                  <w:szCs w:val="20"/>
                </w:rPr>
                <w:t>Restoration of forest ecosystems and landscapes as contribution to the Aichi Biodiversity Targets - Information document submitted by IUCN</w:t>
              </w:r>
            </w:hyperlink>
          </w:p>
        </w:tc>
        <w:tc>
          <w:tcPr>
            <w:tcW w:w="1299" w:type="dxa"/>
          </w:tcPr>
          <w:p w:rsidR="002E1F75" w:rsidRPr="00C94273" w:rsidRDefault="002E1F75" w:rsidP="001802FC">
            <w:pPr>
              <w:rPr>
                <w:rFonts w:cs="Arial"/>
                <w:sz w:val="20"/>
                <w:szCs w:val="20"/>
              </w:rPr>
            </w:pPr>
          </w:p>
        </w:tc>
        <w:tc>
          <w:tcPr>
            <w:tcW w:w="2126" w:type="dxa"/>
          </w:tcPr>
          <w:p w:rsidR="002E1F75" w:rsidRPr="00C94273" w:rsidRDefault="002E1F75" w:rsidP="001802FC">
            <w:pPr>
              <w:rPr>
                <w:rFonts w:cs="Arial"/>
                <w:sz w:val="20"/>
                <w:szCs w:val="20"/>
              </w:rPr>
            </w:pPr>
          </w:p>
        </w:tc>
        <w:tc>
          <w:tcPr>
            <w:tcW w:w="1276" w:type="dxa"/>
          </w:tcPr>
          <w:p w:rsidR="002E1F75" w:rsidRPr="00C94273" w:rsidRDefault="002E1F75" w:rsidP="001802FC">
            <w:pPr>
              <w:rPr>
                <w:rFonts w:cs="Arial"/>
                <w:sz w:val="20"/>
                <w:szCs w:val="20"/>
              </w:rPr>
            </w:pPr>
          </w:p>
        </w:tc>
        <w:tc>
          <w:tcPr>
            <w:tcW w:w="1276" w:type="dxa"/>
          </w:tcPr>
          <w:p w:rsidR="002E1F75" w:rsidRPr="00C94273" w:rsidRDefault="000127B8" w:rsidP="001802FC">
            <w:pPr>
              <w:rPr>
                <w:sz w:val="20"/>
                <w:szCs w:val="20"/>
              </w:rPr>
            </w:pPr>
            <w:r w:rsidRPr="00C94273">
              <w:rPr>
                <w:sz w:val="20"/>
                <w:szCs w:val="20"/>
              </w:rPr>
              <w:t>E</w:t>
            </w:r>
          </w:p>
        </w:tc>
        <w:tc>
          <w:tcPr>
            <w:tcW w:w="5135" w:type="dxa"/>
          </w:tcPr>
          <w:p w:rsidR="000127B8" w:rsidRPr="00C94273" w:rsidRDefault="000127B8" w:rsidP="001802FC">
            <w:pPr>
              <w:rPr>
                <w:rStyle w:val="Hyperlink"/>
                <w:color w:val="auto"/>
                <w:sz w:val="20"/>
                <w:szCs w:val="20"/>
                <w:u w:val="none"/>
              </w:rPr>
            </w:pPr>
            <w:r w:rsidRPr="00C94273">
              <w:rPr>
                <w:rStyle w:val="Hyperlink"/>
                <w:color w:val="auto"/>
                <w:sz w:val="20"/>
                <w:szCs w:val="20"/>
                <w:u w:val="none"/>
              </w:rPr>
              <w:t>IUCN</w:t>
            </w:r>
          </w:p>
          <w:p w:rsidR="002E1F75" w:rsidRPr="00C94273" w:rsidRDefault="000127B8"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“The report provides an introduction to the concept of Forest Landscape Restoration (FLR) and draws linkages between the implementation of various countries’ pledges for FLR, taken under the Bonn Challenge, and the achievement of Aichi Biodiversity Targets. Acti</w:t>
            </w:r>
            <w:r w:rsidR="00B741D4" w:rsidRPr="00C94273">
              <w:rPr>
                <w:rStyle w:val="Hyperlink"/>
                <w:color w:val="auto"/>
                <w:sz w:val="20"/>
                <w:szCs w:val="20"/>
                <w:u w:val="none"/>
              </w:rPr>
              <w:t xml:space="preserve">vities conducted under the Bonn </w:t>
            </w:r>
            <w:r w:rsidRPr="00C94273">
              <w:rPr>
                <w:rStyle w:val="Hyperlink"/>
                <w:color w:val="auto"/>
                <w:sz w:val="20"/>
                <w:szCs w:val="20"/>
                <w:u w:val="none"/>
              </w:rPr>
              <w:t>challenge have the potential to contribute to support a range of Aichi Biodiversity Targets, in particular Targets 5 and 15. Aichi Biodiversity Targets 5 and 15 are relevant to items 9, 10, 13 and 19 of the provisional agenda of the thirteenth meeting of the Conference of the Parties”.</w:t>
            </w:r>
          </w:p>
        </w:tc>
      </w:tr>
      <w:tr w:rsidR="00762B18" w:rsidRPr="00C94273" w:rsidTr="00762B18">
        <w:trPr>
          <w:cantSplit/>
        </w:trPr>
        <w:tc>
          <w:tcPr>
            <w:tcW w:w="3062" w:type="dxa"/>
          </w:tcPr>
          <w:p w:rsidR="00077D7B" w:rsidRPr="00C94273" w:rsidRDefault="001E728F" w:rsidP="001802FC">
            <w:pPr>
              <w:rPr>
                <w:sz w:val="20"/>
                <w:szCs w:val="20"/>
              </w:rPr>
            </w:pPr>
            <w:hyperlink r:id="rId152" w:history="1">
              <w:r w:rsidR="00077D7B" w:rsidRPr="00C94273">
                <w:rPr>
                  <w:rStyle w:val="Hyperlink"/>
                  <w:sz w:val="20"/>
                  <w:szCs w:val="20"/>
                </w:rPr>
                <w:t>Water Management and Stewardship</w:t>
              </w:r>
            </w:hyperlink>
          </w:p>
        </w:tc>
        <w:tc>
          <w:tcPr>
            <w:tcW w:w="1299" w:type="dxa"/>
          </w:tcPr>
          <w:p w:rsidR="00077D7B" w:rsidRPr="00C94273" w:rsidRDefault="00077D7B" w:rsidP="001802FC">
            <w:pPr>
              <w:rPr>
                <w:rFonts w:cs="Arial"/>
                <w:sz w:val="20"/>
                <w:szCs w:val="20"/>
              </w:rPr>
            </w:pPr>
          </w:p>
        </w:tc>
        <w:tc>
          <w:tcPr>
            <w:tcW w:w="2126" w:type="dxa"/>
          </w:tcPr>
          <w:p w:rsidR="00077D7B" w:rsidRPr="00C94273" w:rsidRDefault="00077D7B" w:rsidP="001802FC">
            <w:pPr>
              <w:rPr>
                <w:rFonts w:cs="Arial"/>
                <w:sz w:val="20"/>
                <w:szCs w:val="20"/>
              </w:rPr>
            </w:pPr>
          </w:p>
        </w:tc>
        <w:tc>
          <w:tcPr>
            <w:tcW w:w="1276" w:type="dxa"/>
          </w:tcPr>
          <w:p w:rsidR="00077D7B" w:rsidRPr="00C94273" w:rsidRDefault="00077D7B" w:rsidP="001802FC">
            <w:pPr>
              <w:rPr>
                <w:rFonts w:cs="Arial"/>
                <w:sz w:val="20"/>
                <w:szCs w:val="20"/>
              </w:rPr>
            </w:pPr>
          </w:p>
        </w:tc>
        <w:tc>
          <w:tcPr>
            <w:tcW w:w="1276" w:type="dxa"/>
          </w:tcPr>
          <w:p w:rsidR="00077D7B" w:rsidRPr="00C94273" w:rsidRDefault="00077D7B" w:rsidP="001802FC">
            <w:pPr>
              <w:rPr>
                <w:sz w:val="20"/>
                <w:szCs w:val="20"/>
              </w:rPr>
            </w:pPr>
            <w:r w:rsidRPr="00C94273">
              <w:rPr>
                <w:sz w:val="20"/>
                <w:szCs w:val="20"/>
              </w:rPr>
              <w:t>E</w:t>
            </w:r>
          </w:p>
        </w:tc>
        <w:tc>
          <w:tcPr>
            <w:tcW w:w="5135" w:type="dxa"/>
          </w:tcPr>
          <w:p w:rsidR="00077D7B" w:rsidRPr="00C94273" w:rsidRDefault="00077D7B" w:rsidP="001802FC">
            <w:pPr>
              <w:rPr>
                <w:rStyle w:val="Hyperlink"/>
                <w:color w:val="auto"/>
                <w:sz w:val="20"/>
                <w:szCs w:val="20"/>
                <w:u w:val="none"/>
              </w:rPr>
            </w:pPr>
            <w:r w:rsidRPr="00C94273">
              <w:rPr>
                <w:rStyle w:val="Hyperlink"/>
                <w:color w:val="auto"/>
                <w:sz w:val="20"/>
                <w:szCs w:val="20"/>
                <w:u w:val="none"/>
              </w:rPr>
              <w:t>IUCN</w:t>
            </w:r>
          </w:p>
          <w:p w:rsidR="00077D7B" w:rsidRPr="00C94273" w:rsidRDefault="00077D7B"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“The purpose of this paper is to ‘take stock’ of the discussions, based on what private companies are doing – and not doing, or doing less - in relation to water management and particularly in relation to ‘water stewardship’. These pages do not try to trace the history and origins of corporate water stewardship11. The subject of discussion here is multi-faceted and complex. In ‘taking stock’ of the debate, this ‘discussion paper’ asks as many questions as it attempts to answer – hence its title”.</w:t>
            </w:r>
          </w:p>
        </w:tc>
      </w:tr>
      <w:tr w:rsidR="00762B18" w:rsidRPr="00C94273" w:rsidTr="00762B18">
        <w:trPr>
          <w:cantSplit/>
        </w:trPr>
        <w:tc>
          <w:tcPr>
            <w:tcW w:w="3062" w:type="dxa"/>
          </w:tcPr>
          <w:p w:rsidR="009E422E" w:rsidRPr="00C94273" w:rsidRDefault="001E728F" w:rsidP="001802FC">
            <w:pPr>
              <w:rPr>
                <w:sz w:val="20"/>
                <w:szCs w:val="20"/>
              </w:rPr>
            </w:pPr>
            <w:hyperlink r:id="rId153" w:history="1">
              <w:r w:rsidR="009E422E" w:rsidRPr="00C94273">
                <w:rPr>
                  <w:rStyle w:val="Hyperlink"/>
                  <w:sz w:val="20"/>
                  <w:szCs w:val="20"/>
                </w:rPr>
                <w:t>European Union overseas coastal and marine protected areas - overview of coastal and marine conservation efforts in the European Union's overseas countries and territories and outermost regions</w:t>
              </w:r>
            </w:hyperlink>
          </w:p>
        </w:tc>
        <w:tc>
          <w:tcPr>
            <w:tcW w:w="1299" w:type="dxa"/>
          </w:tcPr>
          <w:p w:rsidR="009E422E" w:rsidRPr="00C94273" w:rsidRDefault="009E422E" w:rsidP="001802FC">
            <w:pPr>
              <w:rPr>
                <w:rFonts w:cs="Arial"/>
                <w:sz w:val="20"/>
                <w:szCs w:val="20"/>
              </w:rPr>
            </w:pPr>
          </w:p>
        </w:tc>
        <w:tc>
          <w:tcPr>
            <w:tcW w:w="2126" w:type="dxa"/>
          </w:tcPr>
          <w:p w:rsidR="009E422E" w:rsidRPr="00C94273" w:rsidRDefault="009E422E" w:rsidP="001802FC">
            <w:pPr>
              <w:rPr>
                <w:rFonts w:cs="Arial"/>
                <w:sz w:val="20"/>
                <w:szCs w:val="20"/>
              </w:rPr>
            </w:pPr>
          </w:p>
        </w:tc>
        <w:tc>
          <w:tcPr>
            <w:tcW w:w="1276" w:type="dxa"/>
          </w:tcPr>
          <w:p w:rsidR="009E422E" w:rsidRPr="00C94273" w:rsidRDefault="009E422E" w:rsidP="001802FC">
            <w:pPr>
              <w:rPr>
                <w:rFonts w:cs="Arial"/>
                <w:sz w:val="20"/>
                <w:szCs w:val="20"/>
              </w:rPr>
            </w:pPr>
          </w:p>
        </w:tc>
        <w:tc>
          <w:tcPr>
            <w:tcW w:w="1276" w:type="dxa"/>
          </w:tcPr>
          <w:p w:rsidR="009E422E" w:rsidRPr="00C94273" w:rsidRDefault="009E422E" w:rsidP="001802FC">
            <w:pPr>
              <w:rPr>
                <w:sz w:val="20"/>
                <w:szCs w:val="20"/>
              </w:rPr>
            </w:pPr>
            <w:r w:rsidRPr="00C94273">
              <w:rPr>
                <w:sz w:val="20"/>
                <w:szCs w:val="20"/>
              </w:rPr>
              <w:t>E</w:t>
            </w:r>
          </w:p>
        </w:tc>
        <w:tc>
          <w:tcPr>
            <w:tcW w:w="5135" w:type="dxa"/>
          </w:tcPr>
          <w:p w:rsidR="009E422E" w:rsidRPr="00C94273" w:rsidRDefault="009E422E" w:rsidP="001802FC">
            <w:pPr>
              <w:rPr>
                <w:rStyle w:val="Hyperlink"/>
                <w:color w:val="auto"/>
                <w:sz w:val="20"/>
                <w:szCs w:val="20"/>
                <w:u w:val="none"/>
              </w:rPr>
            </w:pPr>
            <w:r w:rsidRPr="00C94273">
              <w:rPr>
                <w:rStyle w:val="Hyperlink"/>
                <w:color w:val="auto"/>
                <w:sz w:val="20"/>
                <w:szCs w:val="20"/>
                <w:u w:val="none"/>
              </w:rPr>
              <w:t>IUCN</w:t>
            </w:r>
          </w:p>
          <w:p w:rsidR="009E422E" w:rsidRPr="00C94273" w:rsidRDefault="009E422E"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“This report provides a first comprehensive overview of marine conservation efforts in the EU</w:t>
            </w:r>
          </w:p>
          <w:p w:rsidR="009E422E" w:rsidRPr="00C94273" w:rsidRDefault="009E422E" w:rsidP="001802FC">
            <w:pPr>
              <w:rPr>
                <w:rStyle w:val="Hyperlink"/>
                <w:color w:val="auto"/>
                <w:sz w:val="20"/>
                <w:szCs w:val="20"/>
                <w:u w:val="none"/>
              </w:rPr>
            </w:pPr>
            <w:r w:rsidRPr="00C94273">
              <w:rPr>
                <w:rStyle w:val="Hyperlink"/>
                <w:color w:val="auto"/>
                <w:sz w:val="20"/>
                <w:szCs w:val="20"/>
                <w:u w:val="none"/>
              </w:rPr>
              <w:t>Overseas: In the context of rapid global development in these areas, it takes stock and pinpoints the actions required to improve marine protection and strengthen resilience in these diverse territories and to reconcile this with the opportunities</w:t>
            </w:r>
            <w:r w:rsidR="00863747" w:rsidRPr="00C94273">
              <w:rPr>
                <w:rStyle w:val="Hyperlink"/>
                <w:color w:val="auto"/>
                <w:sz w:val="20"/>
                <w:szCs w:val="20"/>
                <w:u w:val="none"/>
              </w:rPr>
              <w:t xml:space="preserve"> </w:t>
            </w:r>
            <w:r w:rsidRPr="00C94273">
              <w:rPr>
                <w:rStyle w:val="Hyperlink"/>
                <w:color w:val="auto"/>
                <w:sz w:val="20"/>
                <w:szCs w:val="20"/>
                <w:u w:val="none"/>
              </w:rPr>
              <w:t xml:space="preserve">provided by </w:t>
            </w:r>
            <w:r w:rsidR="00077D7B" w:rsidRPr="00C94273">
              <w:rPr>
                <w:rStyle w:val="Hyperlink"/>
                <w:color w:val="auto"/>
                <w:sz w:val="20"/>
                <w:szCs w:val="20"/>
                <w:u w:val="none"/>
              </w:rPr>
              <w:t xml:space="preserve">development of the blue economy </w:t>
            </w:r>
            <w:r w:rsidRPr="00C94273">
              <w:rPr>
                <w:rStyle w:val="Hyperlink"/>
                <w:color w:val="auto"/>
                <w:sz w:val="20"/>
                <w:szCs w:val="20"/>
                <w:u w:val="none"/>
              </w:rPr>
              <w:t>and the challenges in the face of climate change”.</w:t>
            </w:r>
          </w:p>
        </w:tc>
      </w:tr>
      <w:tr w:rsidR="00762B18" w:rsidRPr="00C94273" w:rsidTr="00762B18">
        <w:trPr>
          <w:cantSplit/>
        </w:trPr>
        <w:tc>
          <w:tcPr>
            <w:tcW w:w="3062" w:type="dxa"/>
          </w:tcPr>
          <w:p w:rsidR="000678C6" w:rsidRPr="00C94273" w:rsidRDefault="001E728F" w:rsidP="001802FC">
            <w:pPr>
              <w:rPr>
                <w:sz w:val="20"/>
                <w:szCs w:val="20"/>
              </w:rPr>
            </w:pPr>
            <w:hyperlink r:id="rId154" w:history="1">
              <w:r w:rsidR="00385CCE" w:rsidRPr="00C94273">
                <w:rPr>
                  <w:rStyle w:val="Hyperlink"/>
                  <w:sz w:val="20"/>
                  <w:szCs w:val="20"/>
                </w:rPr>
                <w:t>Capacity building and synergies across the biodiversity-related conventions - Contributing to the design and subsequent implementation of a long-term strategic framework for capacity building for biodiversity beyond 2020</w:t>
              </w:r>
            </w:hyperlink>
          </w:p>
        </w:tc>
        <w:tc>
          <w:tcPr>
            <w:tcW w:w="1299" w:type="dxa"/>
          </w:tcPr>
          <w:p w:rsidR="000678C6" w:rsidRPr="00C94273" w:rsidRDefault="000678C6" w:rsidP="001802FC">
            <w:pPr>
              <w:rPr>
                <w:rFonts w:cs="Arial"/>
                <w:sz w:val="20"/>
                <w:szCs w:val="20"/>
              </w:rPr>
            </w:pPr>
          </w:p>
        </w:tc>
        <w:tc>
          <w:tcPr>
            <w:tcW w:w="2126" w:type="dxa"/>
          </w:tcPr>
          <w:p w:rsidR="000678C6" w:rsidRPr="00C94273" w:rsidRDefault="000678C6" w:rsidP="001802FC">
            <w:pPr>
              <w:rPr>
                <w:rFonts w:cs="Arial"/>
                <w:sz w:val="20"/>
                <w:szCs w:val="20"/>
              </w:rPr>
            </w:pPr>
          </w:p>
        </w:tc>
        <w:tc>
          <w:tcPr>
            <w:tcW w:w="1276" w:type="dxa"/>
          </w:tcPr>
          <w:p w:rsidR="000678C6" w:rsidRPr="00C94273" w:rsidRDefault="000678C6" w:rsidP="001802FC">
            <w:pPr>
              <w:rPr>
                <w:rFonts w:cs="Arial"/>
                <w:sz w:val="20"/>
                <w:szCs w:val="20"/>
              </w:rPr>
            </w:pPr>
          </w:p>
        </w:tc>
        <w:tc>
          <w:tcPr>
            <w:tcW w:w="1276" w:type="dxa"/>
          </w:tcPr>
          <w:p w:rsidR="000678C6" w:rsidRPr="00C94273" w:rsidRDefault="000678C6" w:rsidP="001802FC">
            <w:pPr>
              <w:rPr>
                <w:sz w:val="20"/>
                <w:szCs w:val="20"/>
              </w:rPr>
            </w:pPr>
            <w:r w:rsidRPr="00C94273">
              <w:rPr>
                <w:sz w:val="20"/>
                <w:szCs w:val="20"/>
              </w:rPr>
              <w:t>E</w:t>
            </w:r>
          </w:p>
        </w:tc>
        <w:tc>
          <w:tcPr>
            <w:tcW w:w="5135" w:type="dxa"/>
          </w:tcPr>
          <w:p w:rsidR="000678C6" w:rsidRPr="00C94273" w:rsidRDefault="000678C6" w:rsidP="001802FC">
            <w:pPr>
              <w:rPr>
                <w:rStyle w:val="Hyperlink"/>
                <w:color w:val="auto"/>
                <w:sz w:val="20"/>
                <w:szCs w:val="20"/>
                <w:u w:val="none"/>
              </w:rPr>
            </w:pPr>
            <w:r w:rsidRPr="00C94273">
              <w:rPr>
                <w:rStyle w:val="Hyperlink"/>
                <w:color w:val="auto"/>
                <w:sz w:val="20"/>
                <w:szCs w:val="20"/>
                <w:u w:val="none"/>
              </w:rPr>
              <w:t>IUCN</w:t>
            </w:r>
          </w:p>
          <w:p w:rsidR="000678C6" w:rsidRPr="00C94273" w:rsidRDefault="000678C6"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The results of an survey among IUCN Members to gather views on capacity building needs for coherent implementation of the biodiversity-related conventions and assess the interlinkages between capacity building activities leading to enhanced cooperation and collaboration between these conventions are presented in this paper and constitute a contribution to the preparation of a long-term strategic framework for capacity building beyond 2020, as mandated by CBD Decision XIII/23.</w:t>
            </w:r>
          </w:p>
        </w:tc>
      </w:tr>
      <w:tr w:rsidR="00762B18" w:rsidRPr="00C94273" w:rsidTr="00762B18">
        <w:trPr>
          <w:cantSplit/>
        </w:trPr>
        <w:tc>
          <w:tcPr>
            <w:tcW w:w="3062" w:type="dxa"/>
          </w:tcPr>
          <w:p w:rsidR="00E71AD9" w:rsidRPr="00C94273" w:rsidRDefault="001E728F" w:rsidP="001802FC">
            <w:pPr>
              <w:rPr>
                <w:sz w:val="20"/>
                <w:szCs w:val="20"/>
              </w:rPr>
            </w:pPr>
            <w:hyperlink r:id="rId155" w:history="1">
              <w:r w:rsidR="00E71AD9" w:rsidRPr="00C94273">
                <w:rPr>
                  <w:rStyle w:val="Hyperlink"/>
                  <w:sz w:val="20"/>
                  <w:szCs w:val="20"/>
                </w:rPr>
                <w:t>The United Nations World Water Development Report 2018: Nature-based solutions for water</w:t>
              </w:r>
            </w:hyperlink>
          </w:p>
        </w:tc>
        <w:tc>
          <w:tcPr>
            <w:tcW w:w="1299" w:type="dxa"/>
          </w:tcPr>
          <w:p w:rsidR="00E71AD9" w:rsidRPr="00C94273" w:rsidRDefault="00E71AD9" w:rsidP="001802FC">
            <w:pPr>
              <w:rPr>
                <w:rFonts w:cs="Arial"/>
                <w:sz w:val="20"/>
                <w:szCs w:val="20"/>
              </w:rPr>
            </w:pPr>
          </w:p>
        </w:tc>
        <w:tc>
          <w:tcPr>
            <w:tcW w:w="2126" w:type="dxa"/>
          </w:tcPr>
          <w:p w:rsidR="00E71AD9" w:rsidRPr="00C94273" w:rsidRDefault="00E71AD9" w:rsidP="001802FC">
            <w:pPr>
              <w:rPr>
                <w:rFonts w:cs="Arial"/>
                <w:sz w:val="20"/>
                <w:szCs w:val="20"/>
              </w:rPr>
            </w:pPr>
          </w:p>
        </w:tc>
        <w:tc>
          <w:tcPr>
            <w:tcW w:w="1276" w:type="dxa"/>
          </w:tcPr>
          <w:p w:rsidR="00E71AD9" w:rsidRPr="00C94273" w:rsidRDefault="00E71AD9" w:rsidP="001802FC">
            <w:pPr>
              <w:rPr>
                <w:rFonts w:cs="Arial"/>
                <w:sz w:val="20"/>
                <w:szCs w:val="20"/>
              </w:rPr>
            </w:pPr>
          </w:p>
        </w:tc>
        <w:tc>
          <w:tcPr>
            <w:tcW w:w="1276" w:type="dxa"/>
          </w:tcPr>
          <w:p w:rsidR="00E71AD9" w:rsidRPr="00C94273" w:rsidRDefault="00E71AD9" w:rsidP="001802FC">
            <w:pPr>
              <w:rPr>
                <w:sz w:val="20"/>
                <w:szCs w:val="20"/>
              </w:rPr>
            </w:pPr>
            <w:r w:rsidRPr="00C94273">
              <w:rPr>
                <w:sz w:val="20"/>
                <w:szCs w:val="20"/>
              </w:rPr>
              <w:t>E</w:t>
            </w:r>
            <w:r w:rsidR="00287810" w:rsidRPr="00C94273">
              <w:rPr>
                <w:sz w:val="20"/>
                <w:szCs w:val="20"/>
              </w:rPr>
              <w:t>F</w:t>
            </w:r>
            <w:r w:rsidRPr="00C94273">
              <w:rPr>
                <w:sz w:val="20"/>
                <w:szCs w:val="20"/>
              </w:rPr>
              <w:t>S</w:t>
            </w:r>
          </w:p>
        </w:tc>
        <w:tc>
          <w:tcPr>
            <w:tcW w:w="5135" w:type="dxa"/>
          </w:tcPr>
          <w:p w:rsidR="00E71AD9" w:rsidRPr="00C94273" w:rsidRDefault="00E71AD9" w:rsidP="001802FC">
            <w:pPr>
              <w:rPr>
                <w:rStyle w:val="Hyperlink"/>
                <w:color w:val="auto"/>
                <w:sz w:val="20"/>
                <w:szCs w:val="20"/>
                <w:u w:val="none"/>
              </w:rPr>
            </w:pPr>
            <w:r w:rsidRPr="00C94273">
              <w:rPr>
                <w:rStyle w:val="Hyperlink"/>
                <w:color w:val="auto"/>
                <w:sz w:val="20"/>
                <w:szCs w:val="20"/>
                <w:u w:val="none"/>
              </w:rPr>
              <w:t>UNESCO</w:t>
            </w:r>
          </w:p>
          <w:p w:rsidR="00E71AD9" w:rsidRPr="00C94273" w:rsidRDefault="00E71AD9" w:rsidP="001802FC">
            <w:pPr>
              <w:rPr>
                <w:rStyle w:val="Hyperlink"/>
                <w:color w:val="auto"/>
                <w:sz w:val="20"/>
                <w:szCs w:val="20"/>
                <w:u w:val="none"/>
              </w:rPr>
            </w:pPr>
            <w:r w:rsidRPr="00C94273">
              <w:rPr>
                <w:rStyle w:val="Hyperlink"/>
                <w:color w:val="auto"/>
                <w:sz w:val="20"/>
                <w:szCs w:val="20"/>
              </w:rPr>
              <w:t>Summary</w:t>
            </w:r>
            <w:r w:rsidRPr="00C94273">
              <w:rPr>
                <w:rStyle w:val="Hyperlink"/>
                <w:color w:val="auto"/>
                <w:sz w:val="20"/>
                <w:szCs w:val="20"/>
                <w:u w:val="none"/>
              </w:rPr>
              <w:t>: “As the fifth in a series of annual, theme-oriented reports, the 2018 edition of the United Nations World</w:t>
            </w:r>
          </w:p>
          <w:p w:rsidR="00E71AD9" w:rsidRPr="00C94273" w:rsidRDefault="00E71AD9" w:rsidP="001802FC">
            <w:pPr>
              <w:rPr>
                <w:rStyle w:val="Hyperlink"/>
                <w:color w:val="auto"/>
                <w:sz w:val="20"/>
                <w:szCs w:val="20"/>
                <w:u w:val="none"/>
              </w:rPr>
            </w:pPr>
            <w:r w:rsidRPr="00C94273">
              <w:rPr>
                <w:rStyle w:val="Hyperlink"/>
                <w:color w:val="auto"/>
                <w:sz w:val="20"/>
                <w:szCs w:val="20"/>
                <w:u w:val="none"/>
              </w:rPr>
              <w:t>Development Report (WWDR) focuses on opportunities to harness the natural processes that regulate</w:t>
            </w:r>
          </w:p>
          <w:p w:rsidR="00E71AD9" w:rsidRPr="00C94273" w:rsidRDefault="00E71AD9" w:rsidP="001802FC">
            <w:pPr>
              <w:rPr>
                <w:rStyle w:val="Hyperlink"/>
                <w:color w:val="auto"/>
                <w:sz w:val="20"/>
                <w:szCs w:val="20"/>
                <w:u w:val="none"/>
              </w:rPr>
            </w:pPr>
            <w:r w:rsidRPr="00C94273">
              <w:rPr>
                <w:rStyle w:val="Hyperlink"/>
                <w:color w:val="auto"/>
                <w:sz w:val="20"/>
                <w:szCs w:val="20"/>
                <w:u w:val="none"/>
              </w:rPr>
              <w:t>various elements of the water cycle, which have become collectively known as nature-based solutions</w:t>
            </w:r>
          </w:p>
          <w:p w:rsidR="00E71AD9" w:rsidRPr="00C94273" w:rsidRDefault="00E71AD9" w:rsidP="001802FC">
            <w:pPr>
              <w:rPr>
                <w:rStyle w:val="Hyperlink"/>
                <w:color w:val="auto"/>
                <w:sz w:val="20"/>
                <w:szCs w:val="20"/>
                <w:u w:val="none"/>
              </w:rPr>
            </w:pPr>
            <w:r w:rsidRPr="00C94273">
              <w:rPr>
                <w:rStyle w:val="Hyperlink"/>
                <w:color w:val="auto"/>
                <w:sz w:val="20"/>
                <w:szCs w:val="20"/>
                <w:u w:val="none"/>
              </w:rPr>
              <w:t>(NBS) for water”.</w:t>
            </w:r>
          </w:p>
        </w:tc>
      </w:tr>
      <w:tr w:rsidR="00E602AE" w:rsidRPr="00C94273" w:rsidTr="00762B18">
        <w:trPr>
          <w:cantSplit/>
        </w:trPr>
        <w:tc>
          <w:tcPr>
            <w:tcW w:w="0" w:type="auto"/>
            <w:gridSpan w:val="6"/>
            <w:shd w:val="clear" w:color="auto" w:fill="D9D9D9" w:themeFill="background1" w:themeFillShade="D9"/>
          </w:tcPr>
          <w:p w:rsidR="005C06B3" w:rsidRPr="00C94273" w:rsidRDefault="005C06B3" w:rsidP="001802FC">
            <w:pPr>
              <w:jc w:val="center"/>
              <w:rPr>
                <w:rStyle w:val="Hyperlink"/>
                <w:b/>
                <w:color w:val="auto"/>
                <w:sz w:val="20"/>
                <w:szCs w:val="20"/>
                <w:u w:val="none"/>
              </w:rPr>
            </w:pPr>
            <w:r w:rsidRPr="00C94273">
              <w:rPr>
                <w:rStyle w:val="Hyperlink"/>
                <w:b/>
                <w:color w:val="auto"/>
                <w:sz w:val="20"/>
                <w:szCs w:val="20"/>
                <w:u w:val="none"/>
              </w:rPr>
              <w:t>Other guidance</w:t>
            </w:r>
          </w:p>
        </w:tc>
      </w:tr>
      <w:tr w:rsidR="00E602AE" w:rsidRPr="00C94273" w:rsidTr="0043685F">
        <w:trPr>
          <w:cantSplit/>
        </w:trPr>
        <w:tc>
          <w:tcPr>
            <w:tcW w:w="0" w:type="auto"/>
            <w:gridSpan w:val="6"/>
            <w:shd w:val="clear" w:color="auto" w:fill="FDE9D9" w:themeFill="accent6" w:themeFillTint="33"/>
          </w:tcPr>
          <w:p w:rsidR="004C228B" w:rsidRPr="00C94273" w:rsidRDefault="004C228B" w:rsidP="001802FC">
            <w:pPr>
              <w:rPr>
                <w:rStyle w:val="Hyperlink"/>
                <w:b/>
                <w:color w:val="auto"/>
                <w:sz w:val="20"/>
                <w:szCs w:val="20"/>
                <w:u w:val="none"/>
              </w:rPr>
            </w:pPr>
            <w:r w:rsidRPr="00C94273">
              <w:rPr>
                <w:rStyle w:val="Hyperlink"/>
                <w:b/>
                <w:color w:val="auto"/>
                <w:sz w:val="20"/>
                <w:szCs w:val="20"/>
                <w:u w:val="none"/>
              </w:rPr>
              <w:t>Up to 2015</w:t>
            </w:r>
          </w:p>
        </w:tc>
      </w:tr>
      <w:tr w:rsidR="00762B18" w:rsidRPr="00C94273" w:rsidTr="00762B18">
        <w:trPr>
          <w:cantSplit/>
        </w:trPr>
        <w:tc>
          <w:tcPr>
            <w:tcW w:w="3062" w:type="dxa"/>
          </w:tcPr>
          <w:p w:rsidR="000C7C4E" w:rsidRPr="00C94273" w:rsidRDefault="001E728F" w:rsidP="001802FC">
            <w:pPr>
              <w:rPr>
                <w:sz w:val="20"/>
                <w:szCs w:val="20"/>
              </w:rPr>
            </w:pPr>
            <w:hyperlink r:id="rId156" w:history="1">
              <w:r w:rsidR="000C7C4E" w:rsidRPr="00C94273">
                <w:rPr>
                  <w:rStyle w:val="Hyperlink"/>
                  <w:sz w:val="20"/>
                  <w:szCs w:val="20"/>
                </w:rPr>
                <w:t>Natural infrastructure in the nexus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 IWA, WRI</w:t>
            </w:r>
          </w:p>
        </w:tc>
      </w:tr>
      <w:tr w:rsidR="00762B18" w:rsidRPr="00C94273" w:rsidTr="00762B18">
        <w:trPr>
          <w:cantSplit/>
        </w:trPr>
        <w:tc>
          <w:tcPr>
            <w:tcW w:w="3062" w:type="dxa"/>
          </w:tcPr>
          <w:p w:rsidR="000C7C4E" w:rsidRPr="00C94273" w:rsidRDefault="001E728F" w:rsidP="001802FC">
            <w:pPr>
              <w:rPr>
                <w:color w:val="0066FF"/>
                <w:sz w:val="20"/>
                <w:szCs w:val="20"/>
              </w:rPr>
            </w:pPr>
            <w:hyperlink r:id="rId157" w:history="1">
              <w:r w:rsidR="000C7C4E" w:rsidRPr="00C94273">
                <w:rPr>
                  <w:rStyle w:val="Hyperlink"/>
                  <w:sz w:val="20"/>
                  <w:szCs w:val="20"/>
                </w:rPr>
                <w:t>Green infrastructure guide for water management</w:t>
              </w:r>
            </w:hyperlink>
            <w:r w:rsidR="000C7C4E" w:rsidRPr="00C94273">
              <w:rPr>
                <w:sz w:val="20"/>
                <w:szCs w:val="20"/>
              </w:rPr>
              <w:t xml:space="preserve"> </w:t>
            </w:r>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 UNEP- DHI, TNC</w:t>
            </w:r>
          </w:p>
        </w:tc>
      </w:tr>
      <w:tr w:rsidR="00762B18" w:rsidRPr="0043685F" w:rsidTr="00762B18">
        <w:trPr>
          <w:cantSplit/>
        </w:trPr>
        <w:tc>
          <w:tcPr>
            <w:tcW w:w="3062" w:type="dxa"/>
          </w:tcPr>
          <w:p w:rsidR="000C7C4E" w:rsidRPr="00C94273" w:rsidRDefault="001E728F" w:rsidP="001802FC">
            <w:pPr>
              <w:rPr>
                <w:sz w:val="20"/>
                <w:szCs w:val="20"/>
                <w:lang w:val="fr-FR"/>
              </w:rPr>
            </w:pPr>
            <w:hyperlink r:id="rId158" w:history="1">
              <w:r w:rsidR="000C7C4E" w:rsidRPr="00C94273">
                <w:rPr>
                  <w:rStyle w:val="Hyperlink"/>
                  <w:sz w:val="20"/>
                  <w:szCs w:val="20"/>
                  <w:lang w:val="fr-FR"/>
                </w:rPr>
                <w:t>Dialogue régional sur les grandes infrastructures hydrauliques en Afrique de l'Ouest : la concertation en actes de 2009 à 2011</w:t>
              </w:r>
            </w:hyperlink>
          </w:p>
        </w:tc>
        <w:tc>
          <w:tcPr>
            <w:tcW w:w="1299" w:type="dxa"/>
          </w:tcPr>
          <w:p w:rsidR="000C7C4E" w:rsidRPr="00C94273" w:rsidRDefault="000C7C4E" w:rsidP="001802FC">
            <w:pPr>
              <w:rPr>
                <w:rFonts w:cs="Arial"/>
                <w:sz w:val="20"/>
                <w:szCs w:val="20"/>
                <w:lang w:val="fr-FR"/>
              </w:rPr>
            </w:pPr>
          </w:p>
        </w:tc>
        <w:tc>
          <w:tcPr>
            <w:tcW w:w="2126" w:type="dxa"/>
          </w:tcPr>
          <w:p w:rsidR="000C7C4E" w:rsidRPr="00C94273" w:rsidRDefault="000C7C4E" w:rsidP="001802FC">
            <w:pPr>
              <w:rPr>
                <w:rFonts w:cs="Arial"/>
                <w:sz w:val="20"/>
                <w:szCs w:val="20"/>
                <w:lang w:val="fr-FR"/>
              </w:rPr>
            </w:pPr>
          </w:p>
        </w:tc>
        <w:tc>
          <w:tcPr>
            <w:tcW w:w="1276" w:type="dxa"/>
          </w:tcPr>
          <w:p w:rsidR="000C7C4E" w:rsidRPr="00C94273" w:rsidRDefault="000C7C4E" w:rsidP="001802FC">
            <w:pPr>
              <w:rPr>
                <w:rFonts w:cs="Arial"/>
                <w:sz w:val="20"/>
                <w:szCs w:val="20"/>
                <w:lang w:val="fr-FR"/>
              </w:rPr>
            </w:pPr>
          </w:p>
        </w:tc>
        <w:tc>
          <w:tcPr>
            <w:tcW w:w="1276" w:type="dxa"/>
          </w:tcPr>
          <w:p w:rsidR="000C7C4E" w:rsidRPr="00C94273" w:rsidRDefault="000C7C4E" w:rsidP="001802FC">
            <w:pPr>
              <w:rPr>
                <w:sz w:val="20"/>
                <w:szCs w:val="20"/>
                <w:lang w:val="es-ES"/>
              </w:rPr>
            </w:pPr>
            <w:r w:rsidRPr="00C94273">
              <w:rPr>
                <w:sz w:val="20"/>
                <w:szCs w:val="20"/>
                <w:lang w:val="es-ES"/>
              </w:rPr>
              <w:t>EF</w:t>
            </w:r>
          </w:p>
        </w:tc>
        <w:tc>
          <w:tcPr>
            <w:tcW w:w="5135" w:type="dxa"/>
          </w:tcPr>
          <w:p w:rsidR="000C7C4E" w:rsidRPr="00C94273" w:rsidRDefault="000C7C4E" w:rsidP="001802FC">
            <w:pPr>
              <w:rPr>
                <w:rStyle w:val="Hyperlink"/>
                <w:color w:val="auto"/>
                <w:sz w:val="20"/>
                <w:szCs w:val="20"/>
                <w:u w:val="none"/>
                <w:lang w:val="es-ES"/>
              </w:rPr>
            </w:pPr>
            <w:r w:rsidRPr="00C94273">
              <w:rPr>
                <w:sz w:val="20"/>
                <w:szCs w:val="20"/>
                <w:lang w:val="es-ES"/>
              </w:rPr>
              <w:t>IUCN, ECOWAS, UEMOA, GWP, WWF, Sida, INBO</w:t>
            </w:r>
          </w:p>
        </w:tc>
      </w:tr>
      <w:tr w:rsidR="00762B18" w:rsidRPr="00C94273" w:rsidTr="00762B18">
        <w:trPr>
          <w:cantSplit/>
        </w:trPr>
        <w:tc>
          <w:tcPr>
            <w:tcW w:w="3062" w:type="dxa"/>
          </w:tcPr>
          <w:p w:rsidR="000C7C4E" w:rsidRPr="00C94273" w:rsidRDefault="001E728F" w:rsidP="001802FC">
            <w:pPr>
              <w:rPr>
                <w:sz w:val="20"/>
                <w:szCs w:val="20"/>
              </w:rPr>
            </w:pPr>
            <w:hyperlink r:id="rId159" w:history="1">
              <w:r w:rsidR="000C7C4E" w:rsidRPr="00C94273">
                <w:rPr>
                  <w:rStyle w:val="Hyperlink"/>
                  <w:sz w:val="20"/>
                  <w:szCs w:val="20"/>
                </w:rPr>
                <w:t>Counting coastal ecosystems as an economic part of development infrastructure</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w:t>
            </w:r>
          </w:p>
        </w:tc>
      </w:tr>
      <w:tr w:rsidR="00762B18" w:rsidRPr="00C94273" w:rsidTr="00762B18">
        <w:trPr>
          <w:cantSplit/>
        </w:trPr>
        <w:tc>
          <w:tcPr>
            <w:tcW w:w="3062" w:type="dxa"/>
          </w:tcPr>
          <w:p w:rsidR="000C7C4E" w:rsidRPr="00C94273" w:rsidRDefault="001E728F" w:rsidP="001802FC">
            <w:pPr>
              <w:rPr>
                <w:sz w:val="20"/>
                <w:szCs w:val="20"/>
              </w:rPr>
            </w:pPr>
            <w:hyperlink r:id="rId160" w:history="1">
              <w:r w:rsidR="000C7C4E" w:rsidRPr="00C94273">
                <w:rPr>
                  <w:rStyle w:val="Hyperlink"/>
                  <w:sz w:val="20"/>
                  <w:szCs w:val="20"/>
                </w:rPr>
                <w:t>Biodiversity management system : proposal for the integrated management of biodiversity at Holcim sites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 Holcim</w:t>
            </w:r>
          </w:p>
        </w:tc>
      </w:tr>
      <w:tr w:rsidR="00762B18" w:rsidRPr="00C94273" w:rsidTr="00762B18">
        <w:trPr>
          <w:cantSplit/>
        </w:trPr>
        <w:tc>
          <w:tcPr>
            <w:tcW w:w="3062" w:type="dxa"/>
          </w:tcPr>
          <w:p w:rsidR="000C7C4E" w:rsidRPr="00C94273" w:rsidRDefault="001E728F" w:rsidP="001802FC">
            <w:pPr>
              <w:rPr>
                <w:sz w:val="20"/>
                <w:szCs w:val="20"/>
              </w:rPr>
            </w:pPr>
            <w:hyperlink r:id="rId161" w:history="1">
              <w:r w:rsidR="000C7C4E" w:rsidRPr="00C94273">
                <w:rPr>
                  <w:rStyle w:val="Hyperlink"/>
                  <w:sz w:val="20"/>
                  <w:szCs w:val="20"/>
                </w:rPr>
                <w:t>Good practice guidance for mining and biodiversity</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 ICMM</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2" w:history="1">
              <w:r w:rsidR="000C7C4E" w:rsidRPr="00C94273">
                <w:rPr>
                  <w:rStyle w:val="Hyperlink"/>
                  <w:sz w:val="20"/>
                  <w:szCs w:val="20"/>
                </w:rPr>
                <w:t>Flow: The essentials of environmental flows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 xml:space="preserve">   </w:t>
            </w:r>
            <w:r w:rsidRPr="00C94273">
              <w:rPr>
                <w:rStyle w:val="Hyperlink"/>
                <w:color w:val="auto"/>
                <w:sz w:val="20"/>
                <w:szCs w:val="20"/>
                <w:u w:val="none"/>
              </w:rPr>
              <w:t xml:space="preserve">EFSC (and others) </w:t>
            </w:r>
            <w:r w:rsidRPr="00C94273">
              <w:rPr>
                <w:rStyle w:val="Hyperlink"/>
                <w:sz w:val="20"/>
                <w:szCs w:val="20"/>
                <w:u w:val="none"/>
              </w:rPr>
              <w:t xml:space="preserve"> </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IUCN</w:t>
            </w:r>
          </w:p>
          <w:p w:rsidR="000C7C4E" w:rsidRPr="00C94273" w:rsidRDefault="000C7C4E" w:rsidP="001802FC">
            <w:pPr>
              <w:rPr>
                <w:rFonts w:cs="Arial"/>
                <w:sz w:val="20"/>
                <w:szCs w:val="20"/>
              </w:rPr>
            </w:pPr>
            <w:r w:rsidRPr="00C94273">
              <w:rPr>
                <w:rFonts w:cs="Arial"/>
                <w:sz w:val="20"/>
                <w:szCs w:val="20"/>
                <w:u w:val="single"/>
              </w:rPr>
              <w:t>Summary:</w:t>
            </w:r>
            <w:r w:rsidRPr="00C94273">
              <w:rPr>
                <w:rFonts w:cs="Arial"/>
                <w:sz w:val="20"/>
                <w:szCs w:val="20"/>
              </w:rPr>
              <w:t xml:space="preserve"> “This guide, the second in the series of the Water &amp; Nature Initiative, draws extensively on the experiences in these countries [South Africa, Australia, and the United States] to offer hands-on advice for this emerging issue on the water resource agenda. It goes well beyond existing literature to offer practical guidance on technical issues, such as assessment methods and infrastructural adaptation, and the economic, legal and political dimensions of establishing</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3" w:history="1">
              <w:r w:rsidR="000C7C4E" w:rsidRPr="00C94273">
                <w:rPr>
                  <w:rStyle w:val="Hyperlink"/>
                  <w:sz w:val="20"/>
                  <w:szCs w:val="20"/>
                </w:rPr>
                <w:t>Wetlands and people</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rPr>
              <w:t>IWMI</w:t>
            </w:r>
          </w:p>
          <w:p w:rsidR="000C7C4E" w:rsidRPr="00C94273" w:rsidRDefault="000C7C4E" w:rsidP="001802FC">
            <w:pPr>
              <w:rPr>
                <w:rFonts w:cs="Arial"/>
                <w:sz w:val="20"/>
                <w:szCs w:val="20"/>
              </w:rPr>
            </w:pPr>
            <w:r w:rsidRPr="00C94273">
              <w:rPr>
                <w:rFonts w:cs="Arial"/>
                <w:sz w:val="20"/>
                <w:szCs w:val="20"/>
                <w:u w:val="single"/>
              </w:rPr>
              <w:t>Summary:</w:t>
            </w:r>
            <w:r w:rsidRPr="00C94273">
              <w:rPr>
                <w:rFonts w:cs="Arial"/>
                <w:sz w:val="20"/>
                <w:szCs w:val="20"/>
              </w:rPr>
              <w:t xml:space="preserve"> Among other things, the report discusses threats to wetlands, wetland agriculture, and balancing wetland conservation and development. “The case studies in this report highlight the many ways in which wetlands support and improve the lives of poor people in Africa, Asia and Latin America.”</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4" w:history="1">
              <w:r w:rsidR="000C7C4E" w:rsidRPr="00C94273">
                <w:rPr>
                  <w:rStyle w:val="Hyperlink"/>
                  <w:sz w:val="20"/>
                  <w:szCs w:val="20"/>
                </w:rPr>
                <w:t>Wetlands, Agriculture and Poverty Reduction</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rStyle w:val="Hyperlink"/>
                <w:color w:val="auto"/>
                <w:sz w:val="20"/>
                <w:szCs w:val="20"/>
                <w:u w:val="none"/>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IWMI, agriculture</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“This report synthesizes findings from multidisciplinary studies conducted into sustainable wetland agriculture by IWMI and partners in Africa and Asia. It highlights the value of wetland agriculture for poverty reduction as well as the need for more systematic planning that takes into account trade-offs in the multiple services that wetlands provide.”</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5" w:history="1">
              <w:r w:rsidR="000C7C4E" w:rsidRPr="00C94273">
                <w:rPr>
                  <w:rStyle w:val="Hyperlink"/>
                  <w:sz w:val="20"/>
                  <w:szCs w:val="20"/>
                </w:rPr>
                <w:t>Water implications of biofuel crops: understanding trade-offs and identifying options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rPr>
              <w:t>IWMI</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The document explains how “[w]</w:t>
            </w:r>
            <w:proofErr w:type="spellStart"/>
            <w:r w:rsidRPr="00C94273">
              <w:rPr>
                <w:sz w:val="20"/>
                <w:szCs w:val="20"/>
              </w:rPr>
              <w:t>ater</w:t>
            </w:r>
            <w:proofErr w:type="spellEnd"/>
            <w:r w:rsidRPr="00C94273">
              <w:rPr>
                <w:sz w:val="20"/>
                <w:szCs w:val="20"/>
              </w:rPr>
              <w:t xml:space="preserve">, food, energy, environment and rural livelihoods are all linked” and summarizes some of the “options policymakers have for making </w:t>
            </w:r>
            <w:proofErr w:type="spellStart"/>
            <w:r w:rsidRPr="00C94273">
              <w:rPr>
                <w:sz w:val="20"/>
                <w:szCs w:val="20"/>
              </w:rPr>
              <w:t>tradeoffs</w:t>
            </w:r>
            <w:proofErr w:type="spellEnd"/>
            <w:r w:rsidRPr="00C94273">
              <w:rPr>
                <w:sz w:val="20"/>
                <w:szCs w:val="20"/>
              </w:rPr>
              <w:t xml:space="preserve"> between biofuels and other uses of water.”</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6" w:history="1">
              <w:r w:rsidR="000C7C4E" w:rsidRPr="00C94273">
                <w:rPr>
                  <w:rStyle w:val="Hyperlink"/>
                  <w:sz w:val="20"/>
                  <w:szCs w:val="20"/>
                </w:rPr>
                <w:t>Working Wetlands: Classifying Wetland Potential for Agriculture</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rStyle w:val="Hyperlink"/>
                <w:color w:val="auto"/>
                <w:sz w:val="20"/>
                <w:szCs w:val="20"/>
                <w:u w:val="none"/>
              </w:rPr>
              <w:t>E</w:t>
            </w:r>
          </w:p>
        </w:tc>
        <w:tc>
          <w:tcPr>
            <w:tcW w:w="5135" w:type="dxa"/>
          </w:tcPr>
          <w:p w:rsidR="000C7C4E" w:rsidRPr="00C94273" w:rsidRDefault="000C7C4E" w:rsidP="001802FC">
            <w:pPr>
              <w:rPr>
                <w:rStyle w:val="Hyperlink"/>
                <w:color w:val="auto"/>
                <w:sz w:val="20"/>
                <w:szCs w:val="20"/>
                <w:u w:val="none"/>
              </w:rPr>
            </w:pPr>
            <w:r w:rsidRPr="00C94273">
              <w:rPr>
                <w:rStyle w:val="Hyperlink"/>
                <w:color w:val="auto"/>
                <w:sz w:val="20"/>
                <w:szCs w:val="20"/>
                <w:u w:val="none"/>
              </w:rPr>
              <w:t>IWMI, agriculture</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“Multi-stakeholder Policy Formulation and Action Planning (MPAP) is a specific approach aimed at influencing or changing policies. . . . This report attempts to compare and contrast the MPAP approach and associated work with MSPs [multi-stakeholder processes] in three African and two Asian cities, which aimed at policy recognition in support of urban agriculture (UA).”</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7" w:history="1">
              <w:r w:rsidR="000C7C4E" w:rsidRPr="00C94273">
                <w:rPr>
                  <w:rStyle w:val="Hyperlink"/>
                  <w:sz w:val="20"/>
                  <w:szCs w:val="20"/>
                </w:rPr>
                <w:t>Practical guidance for implementing RSPO Principles and Criteria in relation to peatlands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rPr>
              <w:t>Wetlands International; (draft)</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xml:space="preserve">: “In April 2013, the Roundtable for Sustainable Palm Oil (RSPO) . . . adopted a new set of Principles and Criteria (P&amp;C), including various criteria, indicators and guidance for the production of palm oil on peat and the special sustainability issues connected to this. . . . For some items </w:t>
            </w:r>
            <w:proofErr w:type="gramStart"/>
            <w:r w:rsidRPr="00C94273">
              <w:rPr>
                <w:sz w:val="20"/>
                <w:szCs w:val="20"/>
              </w:rPr>
              <w:t>an</w:t>
            </w:r>
            <w:proofErr w:type="gramEnd"/>
            <w:r w:rsidRPr="00C94273">
              <w:rPr>
                <w:sz w:val="20"/>
                <w:szCs w:val="20"/>
              </w:rPr>
              <w:t xml:space="preserve"> ‘Implementation Period’ for learning has been built in, to enable growers to adjust their planning and practices. This manual has been drafted by Wetlands International to help and stimulate this learning process.”</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68" w:history="1">
              <w:r w:rsidR="000C7C4E" w:rsidRPr="00C94273">
                <w:rPr>
                  <w:rStyle w:val="Hyperlink"/>
                  <w:sz w:val="20"/>
                  <w:szCs w:val="20"/>
                </w:rPr>
                <w:t>Destination Wetlands: Supporting sustainable tourism</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EFSA</w:t>
            </w:r>
          </w:p>
        </w:tc>
        <w:tc>
          <w:tcPr>
            <w:tcW w:w="5135" w:type="dxa"/>
          </w:tcPr>
          <w:p w:rsidR="000C7C4E" w:rsidRPr="00C94273" w:rsidRDefault="000C7C4E" w:rsidP="001802FC">
            <w:pPr>
              <w:rPr>
                <w:sz w:val="20"/>
                <w:szCs w:val="20"/>
              </w:rPr>
            </w:pPr>
            <w:r w:rsidRPr="00C94273">
              <w:rPr>
                <w:sz w:val="20"/>
                <w:szCs w:val="20"/>
              </w:rPr>
              <w:t>Ramsar &amp; World Tourism Organization</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“Fourteen wetland case studies form the core of this publication and were selected to exemplify both the diversity of wetland types around the world and the diversity in the scale of wetland tourism in Wetlands of International Importance . . . , and to illustrate effective approaches in managing tourism for the wetland sector. This information is particularly addressed to wetland management authorities but should also be relevant to many others.”</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lang w:val="en"/>
              </w:rPr>
            </w:pPr>
            <w:hyperlink r:id="rId169" w:history="1">
              <w:r w:rsidR="000C7C4E" w:rsidRPr="00C94273">
                <w:rPr>
                  <w:rStyle w:val="Hyperlink"/>
                  <w:sz w:val="20"/>
                  <w:szCs w:val="20"/>
                  <w:lang w:val="en"/>
                </w:rPr>
                <w:t>Tourism Supporting Biodiversity: A Manual on applying the CBD Guidelines on Biodiversity and Tourism Development</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lang w:val="en"/>
              </w:rPr>
            </w:pPr>
            <w:r w:rsidRPr="00C94273">
              <w:rPr>
                <w:sz w:val="20"/>
                <w:szCs w:val="20"/>
                <w:lang w:val="en"/>
              </w:rPr>
              <w:t>UNEP &amp; CBD</w:t>
            </w:r>
          </w:p>
          <w:p w:rsidR="000C7C4E" w:rsidRPr="00C94273" w:rsidRDefault="000C7C4E" w:rsidP="001802FC">
            <w:pPr>
              <w:rPr>
                <w:rFonts w:cs="Arial"/>
                <w:sz w:val="20"/>
                <w:szCs w:val="20"/>
              </w:rPr>
            </w:pPr>
            <w:r w:rsidRPr="00C94273">
              <w:rPr>
                <w:sz w:val="20"/>
                <w:szCs w:val="20"/>
                <w:u w:val="single"/>
                <w:lang w:val="en"/>
              </w:rPr>
              <w:t>Summary</w:t>
            </w:r>
            <w:r w:rsidRPr="00C94273">
              <w:rPr>
                <w:sz w:val="20"/>
                <w:szCs w:val="20"/>
                <w:lang w:val="en"/>
              </w:rPr>
              <w:t>: “This Manual provides information for planners, developers, managers and decision makers involved with tourism development and resource management in areas of sensitive biodiversity. The purpose is to help them to mainstream biodiversity concerns and ecosystem services within sustainable tourism development. Its primary target is public authorities and other agencies in a position to influence tourism impacts, while also being relevant to potential developers of tourism projects.”</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lang w:val="en"/>
              </w:rPr>
            </w:pPr>
            <w:hyperlink r:id="rId170" w:history="1">
              <w:r w:rsidR="000C7C4E" w:rsidRPr="00C94273">
                <w:rPr>
                  <w:rStyle w:val="Hyperlink"/>
                  <w:sz w:val="20"/>
                  <w:szCs w:val="20"/>
                  <w:lang w:val="en"/>
                </w:rPr>
                <w:t>Ecosystems and Human Well-Being: Wetlands and Water Synthesis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lang w:val="en"/>
              </w:rPr>
              <w:t>ES (and others)</w:t>
            </w:r>
          </w:p>
        </w:tc>
        <w:tc>
          <w:tcPr>
            <w:tcW w:w="5135" w:type="dxa"/>
          </w:tcPr>
          <w:p w:rsidR="000C7C4E" w:rsidRPr="00C94273" w:rsidRDefault="000C7C4E" w:rsidP="001802FC">
            <w:pPr>
              <w:rPr>
                <w:sz w:val="20"/>
                <w:szCs w:val="20"/>
                <w:lang w:val="en"/>
              </w:rPr>
            </w:pPr>
            <w:r w:rsidRPr="00C94273">
              <w:rPr>
                <w:sz w:val="20"/>
                <w:szCs w:val="20"/>
                <w:lang w:val="en"/>
              </w:rPr>
              <w:t>Millennium Ecosystem Assessment</w:t>
            </w:r>
          </w:p>
          <w:p w:rsidR="000C7C4E" w:rsidRPr="00C94273" w:rsidRDefault="000C7C4E" w:rsidP="001802FC">
            <w:pPr>
              <w:rPr>
                <w:rFonts w:cs="Arial"/>
                <w:sz w:val="20"/>
                <w:szCs w:val="20"/>
              </w:rPr>
            </w:pPr>
            <w:r w:rsidRPr="00C94273">
              <w:rPr>
                <w:sz w:val="20"/>
                <w:szCs w:val="20"/>
                <w:u w:val="single"/>
                <w:lang w:val="en"/>
              </w:rPr>
              <w:t>Summary</w:t>
            </w:r>
            <w:r w:rsidRPr="00C94273">
              <w:rPr>
                <w:sz w:val="20"/>
                <w:szCs w:val="20"/>
                <w:lang w:val="en"/>
              </w:rPr>
              <w:t xml:space="preserve">: “This report, synthesizing the findings of the MA [Millennium Ecosystem Assessment] on inland, coastal, and near-shore marine wetlands, is the key product of the MA for the Ramsar Convention. . . . The synthesis stresses the link between wetlands and water and will help us set the future agenda for </w:t>
            </w:r>
            <w:proofErr w:type="gramStart"/>
            <w:r w:rsidRPr="00C94273">
              <w:rPr>
                <w:sz w:val="20"/>
                <w:szCs w:val="20"/>
                <w:lang w:val="en"/>
              </w:rPr>
              <w:t>Ramsar. . . .</w:t>
            </w:r>
            <w:proofErr w:type="gramEnd"/>
            <w:r w:rsidRPr="00C94273">
              <w:rPr>
                <w:sz w:val="20"/>
                <w:szCs w:val="20"/>
                <w:lang w:val="en"/>
              </w:rPr>
              <w:t xml:space="preserve"> The Millennium Ecosystem Assessment was a four-year international process (2001–05) designed to meet the needs of </w:t>
            </w:r>
            <w:proofErr w:type="spellStart"/>
            <w:r w:rsidRPr="00C94273">
              <w:rPr>
                <w:sz w:val="20"/>
                <w:szCs w:val="20"/>
                <w:lang w:val="en"/>
              </w:rPr>
              <w:t>decisionmakers</w:t>
            </w:r>
            <w:proofErr w:type="spellEnd"/>
            <w:r w:rsidRPr="00C94273">
              <w:rPr>
                <w:sz w:val="20"/>
                <w:szCs w:val="20"/>
                <w:lang w:val="en"/>
              </w:rPr>
              <w:t xml:space="preserve"> for information on the links between ecosystem change and human well-being. It focused on how changes in ecosystems and ecosystem services have affected human well-being, how ecosystem changes may affect people in future decades, and what types of responses can be adopted at local, national, regional, or global scales to improve ecosystem management and thereby contribute to human well-being.”</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lang w:val="en"/>
              </w:rPr>
            </w:pPr>
            <w:hyperlink r:id="rId171" w:history="1">
              <w:r w:rsidR="00385CCE" w:rsidRPr="00C94273">
                <w:rPr>
                  <w:rStyle w:val="Hyperlink"/>
                  <w:sz w:val="20"/>
                  <w:szCs w:val="20"/>
                  <w:lang w:val="en"/>
                </w:rPr>
                <w:t>A Guide to Developing Biodiversity Action Plans for the Oil and Gas Sector</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p>
        </w:tc>
        <w:tc>
          <w:tcPr>
            <w:tcW w:w="5135" w:type="dxa"/>
          </w:tcPr>
          <w:p w:rsidR="000C7C4E" w:rsidRPr="00C94273" w:rsidRDefault="000C7C4E" w:rsidP="001802FC">
            <w:pPr>
              <w:rPr>
                <w:sz w:val="20"/>
                <w:szCs w:val="20"/>
                <w:lang w:val="en"/>
              </w:rPr>
            </w:pPr>
            <w:r w:rsidRPr="00C94273">
              <w:rPr>
                <w:sz w:val="20"/>
                <w:szCs w:val="20"/>
                <w:lang w:val="en"/>
              </w:rPr>
              <w:t>IPIECA &amp; OGP</w:t>
            </w:r>
          </w:p>
          <w:p w:rsidR="000C7C4E" w:rsidRPr="00C94273" w:rsidRDefault="000C7C4E" w:rsidP="001802FC">
            <w:pPr>
              <w:rPr>
                <w:rFonts w:cs="Arial"/>
                <w:sz w:val="20"/>
                <w:szCs w:val="20"/>
              </w:rPr>
            </w:pPr>
            <w:r w:rsidRPr="00C94273">
              <w:rPr>
                <w:sz w:val="20"/>
                <w:szCs w:val="20"/>
                <w:u w:val="single"/>
                <w:lang w:val="en"/>
              </w:rPr>
              <w:t>Summary</w:t>
            </w:r>
            <w:r w:rsidRPr="00C94273">
              <w:rPr>
                <w:sz w:val="20"/>
                <w:szCs w:val="20"/>
                <w:lang w:val="en"/>
              </w:rPr>
              <w:t>: “This IPIECA guide is designed to help HSE professionals and other relevant staff, e.g. those involved with project planning, in the oil and gas industry to develop Biodiversity Action Plans (BAPs) for their sites and projects. BAPs are a systematic approach to biodiversity conservation that can build on, and be integrated with, existing company activities and processes throughout the oil and gas project life cycle. . . . [T]</w:t>
            </w:r>
            <w:proofErr w:type="gramStart"/>
            <w:r w:rsidRPr="00C94273">
              <w:rPr>
                <w:sz w:val="20"/>
                <w:szCs w:val="20"/>
                <w:lang w:val="en"/>
              </w:rPr>
              <w:t>he</w:t>
            </w:r>
            <w:proofErr w:type="gramEnd"/>
            <w:r w:rsidRPr="00C94273">
              <w:rPr>
                <w:sz w:val="20"/>
                <w:szCs w:val="20"/>
                <w:lang w:val="en"/>
              </w:rPr>
              <w:t xml:space="preserve"> guidance focuses on the general process recommended to be used in preparing and implementing a BAP . . . .”</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lang w:val="en"/>
              </w:rPr>
            </w:pPr>
            <w:hyperlink r:id="rId172" w:history="1">
              <w:r w:rsidR="000C7C4E" w:rsidRPr="00C94273">
                <w:rPr>
                  <w:rStyle w:val="Hyperlink"/>
                  <w:sz w:val="20"/>
                  <w:szCs w:val="20"/>
                  <w:lang w:val="en"/>
                </w:rPr>
                <w:t>Biodiversity Offset Design Handbook</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lang w:val="en"/>
              </w:rPr>
            </w:pPr>
            <w:r w:rsidRPr="00C94273">
              <w:rPr>
                <w:sz w:val="20"/>
                <w:szCs w:val="20"/>
                <w:lang w:val="en"/>
              </w:rPr>
              <w:t xml:space="preserve">Business and Biodiversity Offsets </w:t>
            </w:r>
            <w:proofErr w:type="spellStart"/>
            <w:r w:rsidRPr="00C94273">
              <w:rPr>
                <w:sz w:val="20"/>
                <w:szCs w:val="20"/>
                <w:lang w:val="en"/>
              </w:rPr>
              <w:t>Programme</w:t>
            </w:r>
            <w:proofErr w:type="spellEnd"/>
          </w:p>
          <w:p w:rsidR="000C7C4E" w:rsidRPr="00C94273" w:rsidRDefault="000C7C4E" w:rsidP="001802FC">
            <w:pPr>
              <w:rPr>
                <w:rFonts w:cs="Arial"/>
                <w:sz w:val="20"/>
                <w:szCs w:val="20"/>
              </w:rPr>
            </w:pPr>
            <w:r w:rsidRPr="00C94273">
              <w:rPr>
                <w:sz w:val="20"/>
                <w:szCs w:val="20"/>
                <w:u w:val="single"/>
                <w:lang w:val="en"/>
              </w:rPr>
              <w:t>Summary</w:t>
            </w:r>
            <w:r w:rsidRPr="00C94273">
              <w:rPr>
                <w:sz w:val="20"/>
                <w:szCs w:val="20"/>
                <w:lang w:val="en"/>
              </w:rPr>
              <w:t>: “The Handbook offers suggestions on how to go about designing a biodiversity offset and information on a range of approaches and methodologies that were developed for, or can be adapted to, the design of biodiversity offsets. It also highlights the main considerations and issues with which offset planners and other stakeholders may need to grapple as they consider whether a biodiversity offset is an appropriate approach for a particular development project and, if so, what is the best design of offset for the individual circumstances concerned.”</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73" w:history="1">
              <w:r w:rsidR="000C7C4E" w:rsidRPr="00C94273">
                <w:rPr>
                  <w:rStyle w:val="Hyperlink"/>
                  <w:sz w:val="20"/>
                  <w:szCs w:val="20"/>
                </w:rPr>
                <w:t>Achieving Conservation And Development: 10 Principles for Applying the Mitigation Hierarchy</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ES</w:t>
            </w:r>
          </w:p>
        </w:tc>
        <w:tc>
          <w:tcPr>
            <w:tcW w:w="5135" w:type="dxa"/>
          </w:tcPr>
          <w:p w:rsidR="000C7C4E" w:rsidRPr="00C94273" w:rsidRDefault="000C7C4E" w:rsidP="001802FC">
            <w:pPr>
              <w:rPr>
                <w:sz w:val="20"/>
                <w:szCs w:val="20"/>
              </w:rPr>
            </w:pPr>
            <w:r w:rsidRPr="00C94273">
              <w:rPr>
                <w:sz w:val="20"/>
                <w:szCs w:val="20"/>
              </w:rPr>
              <w:t>The Nature Conservancy</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“Improving mitigation policy and practice – how we avoid, minimize, and offset environmental impacts to lands and waters – is one of the best opportunities for achieving sustainable development and conservation goals. . . . This paper summarizes 10 key principles for applying the mitigation hierarchy – avoid, minimize, and offset . . . – and is intended to guide the Conservancy’s approach to and engagements on mitigation.”</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74" w:history="1">
              <w:r w:rsidR="000C7C4E" w:rsidRPr="00C94273">
                <w:rPr>
                  <w:rStyle w:val="Hyperlink"/>
                  <w:sz w:val="20"/>
                  <w:szCs w:val="20"/>
                </w:rPr>
                <w:t>Biodiversity Offsets: Effective Design and Implementation</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sz w:val="20"/>
                <w:szCs w:val="20"/>
              </w:rPr>
            </w:pPr>
            <w:r w:rsidRPr="00C94273">
              <w:rPr>
                <w:sz w:val="20"/>
                <w:szCs w:val="20"/>
              </w:rPr>
              <w:t>OECD</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xml:space="preserve">: “A forthcoming OECD (2014) publication </w:t>
            </w:r>
            <w:r w:rsidRPr="00C94273">
              <w:rPr>
                <w:i/>
                <w:sz w:val="20"/>
                <w:szCs w:val="20"/>
              </w:rPr>
              <w:t>Biodiversity Offsets: Effective Design and Implementation</w:t>
            </w:r>
            <w:r w:rsidRPr="00C94273">
              <w:rPr>
                <w:sz w:val="20"/>
                <w:szCs w:val="20"/>
              </w:rPr>
              <w:t xml:space="preserve"> examines the role of biodiversity offsets in the policy mix for biodiversity conservation and sustainable use. This brochure highlights some of the key findings from this </w:t>
            </w:r>
            <w:proofErr w:type="gramStart"/>
            <w:r w:rsidRPr="00C94273">
              <w:rPr>
                <w:sz w:val="20"/>
                <w:szCs w:val="20"/>
              </w:rPr>
              <w:t>publication .</w:t>
            </w:r>
            <w:proofErr w:type="gramEnd"/>
            <w:r w:rsidRPr="00C94273">
              <w:rPr>
                <w:sz w:val="20"/>
                <w:szCs w:val="20"/>
              </w:rPr>
              <w:t xml:space="preserve"> . . . The publication addresses the following questions: What are biodiversity offsets and how do they fit within the broader framework of no net loss and the mitigation hierarchy? What are the key design and implementation features that need to be considered to ensure that offsets are environmentally effective, economically efficient, and </w:t>
            </w:r>
            <w:proofErr w:type="spellStart"/>
            <w:r w:rsidRPr="00C94273">
              <w:rPr>
                <w:sz w:val="20"/>
                <w:szCs w:val="20"/>
              </w:rPr>
              <w:t>distributionally</w:t>
            </w:r>
            <w:proofErr w:type="spellEnd"/>
            <w:r w:rsidRPr="00C94273">
              <w:rPr>
                <w:sz w:val="20"/>
                <w:szCs w:val="20"/>
              </w:rPr>
              <w:t xml:space="preserve"> equitable? What lessons have been learned from existing biodiversity offset programmes and what are the good practice insights for their improvement?”</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75" w:history="1">
              <w:r w:rsidR="00385CCE" w:rsidRPr="00C94273">
                <w:rPr>
                  <w:rStyle w:val="Hyperlink"/>
                  <w:sz w:val="20"/>
                  <w:szCs w:val="20"/>
                </w:rPr>
                <w:t>Scoping agriculture-wetlands interactions: Towards a sustainable multi-response strategy</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p>
        </w:tc>
        <w:tc>
          <w:tcPr>
            <w:tcW w:w="5135" w:type="dxa"/>
          </w:tcPr>
          <w:p w:rsidR="000C7C4E" w:rsidRPr="00C94273" w:rsidRDefault="000C7C4E" w:rsidP="001802FC">
            <w:pPr>
              <w:rPr>
                <w:sz w:val="20"/>
                <w:szCs w:val="20"/>
              </w:rPr>
            </w:pPr>
            <w:r w:rsidRPr="00C94273">
              <w:rPr>
                <w:sz w:val="20"/>
                <w:szCs w:val="20"/>
              </w:rPr>
              <w:t>Ramsar &amp; FAO</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“This report explores the nature of AWIs [agriculture-wetland interactions] through the application of the drivers, pressures, state changes, impacts and responses (DPSIR) framework to 90 cases drawn from around the world. The analysis is set within the context of a literature review and a conceptualization of AWIs.”</w:t>
            </w:r>
          </w:p>
        </w:tc>
      </w:tr>
      <w:tr w:rsidR="00762B18" w:rsidRPr="00C94273" w:rsidTr="00762B18">
        <w:trPr>
          <w:cantSplit/>
        </w:trPr>
        <w:tc>
          <w:tcPr>
            <w:tcW w:w="3062" w:type="dxa"/>
          </w:tcPr>
          <w:p w:rsidR="000C7C4E" w:rsidRPr="00C94273" w:rsidRDefault="001E728F" w:rsidP="001802FC">
            <w:pPr>
              <w:rPr>
                <w:color w:val="0000FF" w:themeColor="hyperlink"/>
                <w:sz w:val="20"/>
                <w:szCs w:val="20"/>
                <w:u w:val="single"/>
              </w:rPr>
            </w:pPr>
            <w:hyperlink r:id="rId176" w:history="1">
              <w:r w:rsidR="000C7C4E" w:rsidRPr="00C94273">
                <w:rPr>
                  <w:rStyle w:val="Hyperlink"/>
                  <w:sz w:val="20"/>
                  <w:szCs w:val="20"/>
                </w:rPr>
                <w:t>Biodiversity and Ecosystem Services Trends and Conditions Assessment Tool</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p>
        </w:tc>
        <w:tc>
          <w:tcPr>
            <w:tcW w:w="5135" w:type="dxa"/>
          </w:tcPr>
          <w:p w:rsidR="000C7C4E" w:rsidRPr="00C94273" w:rsidRDefault="000C7C4E" w:rsidP="001802FC">
            <w:pPr>
              <w:rPr>
                <w:sz w:val="20"/>
                <w:szCs w:val="20"/>
              </w:rPr>
            </w:pPr>
            <w:r w:rsidRPr="00C94273">
              <w:rPr>
                <w:sz w:val="20"/>
                <w:szCs w:val="20"/>
              </w:rPr>
              <w:t>The Nature Conservancy</w:t>
            </w:r>
          </w:p>
          <w:p w:rsidR="000C7C4E" w:rsidRPr="00C94273" w:rsidRDefault="000C7C4E" w:rsidP="001802FC">
            <w:pPr>
              <w:rPr>
                <w:rFonts w:cs="Arial"/>
                <w:sz w:val="20"/>
                <w:szCs w:val="20"/>
              </w:rPr>
            </w:pPr>
            <w:r w:rsidRPr="00C94273">
              <w:rPr>
                <w:sz w:val="20"/>
                <w:szCs w:val="20"/>
                <w:u w:val="single"/>
              </w:rPr>
              <w:t>Summary</w:t>
            </w:r>
            <w:r w:rsidRPr="00C94273">
              <w:rPr>
                <w:sz w:val="20"/>
                <w:szCs w:val="20"/>
              </w:rPr>
              <w:t>: “</w:t>
            </w:r>
            <w:proofErr w:type="spellStart"/>
            <w:r w:rsidRPr="00C94273">
              <w:rPr>
                <w:sz w:val="20"/>
                <w:szCs w:val="20"/>
              </w:rPr>
              <w:t>BestCat</w:t>
            </w:r>
            <w:proofErr w:type="spellEnd"/>
            <w:r w:rsidRPr="00C94273">
              <w:rPr>
                <w:sz w:val="20"/>
                <w:szCs w:val="20"/>
              </w:rPr>
              <w:t xml:space="preserve"> is a web-based mapping application which provides companies with the ability to compare and contrast global assets based on value and condition of ecosystems and associated biodiversity. This easy-to-use and efficient application provides businesses with a </w:t>
            </w:r>
            <w:proofErr w:type="spellStart"/>
            <w:r w:rsidRPr="00C94273">
              <w:rPr>
                <w:sz w:val="20"/>
                <w:szCs w:val="20"/>
              </w:rPr>
              <w:t>preset</w:t>
            </w:r>
            <w:proofErr w:type="spellEnd"/>
            <w:r w:rsidRPr="00C94273">
              <w:rPr>
                <w:sz w:val="20"/>
                <w:szCs w:val="20"/>
              </w:rPr>
              <w:t xml:space="preserve"> data package that highlights biodiversity and ecosystem service risk and quickly identifies critical locations that require risk management. </w:t>
            </w:r>
            <w:proofErr w:type="spellStart"/>
            <w:r w:rsidRPr="00C94273">
              <w:rPr>
                <w:sz w:val="20"/>
                <w:szCs w:val="20"/>
              </w:rPr>
              <w:t>BestCat</w:t>
            </w:r>
            <w:proofErr w:type="spellEnd"/>
            <w:r w:rsidRPr="00C94273">
              <w:rPr>
                <w:sz w:val="20"/>
                <w:szCs w:val="20"/>
              </w:rPr>
              <w:t xml:space="preserve"> analysis provides a basis for developing cost effective risk mitigation approaches by identifying areas that are associated with potential environmental liabilities.”</w:t>
            </w:r>
          </w:p>
        </w:tc>
      </w:tr>
      <w:tr w:rsidR="00762B18" w:rsidRPr="00C94273" w:rsidTr="00762B18">
        <w:trPr>
          <w:cantSplit/>
        </w:trPr>
        <w:tc>
          <w:tcPr>
            <w:tcW w:w="3062" w:type="dxa"/>
          </w:tcPr>
          <w:p w:rsidR="000C7C4E" w:rsidRPr="00C94273" w:rsidRDefault="001E728F" w:rsidP="001802FC">
            <w:pPr>
              <w:rPr>
                <w:sz w:val="20"/>
                <w:szCs w:val="20"/>
              </w:rPr>
            </w:pPr>
            <w:hyperlink r:id="rId177" w:history="1">
              <w:r w:rsidR="000C7C4E" w:rsidRPr="00C94273">
                <w:rPr>
                  <w:rStyle w:val="Hyperlink"/>
                  <w:sz w:val="20"/>
                  <w:szCs w:val="20"/>
                </w:rPr>
                <w:t>Facilitating Outcomes: Multi-stakeholder Processes for Influencing Policy Change on Urban Agriculture in Selected West African and South Asian Cities</w:t>
              </w:r>
            </w:hyperlink>
          </w:p>
        </w:tc>
        <w:tc>
          <w:tcPr>
            <w:tcW w:w="1299" w:type="dxa"/>
          </w:tcPr>
          <w:p w:rsidR="000C7C4E" w:rsidRPr="00C94273" w:rsidRDefault="000C7C4E" w:rsidP="001802FC">
            <w:pPr>
              <w:rPr>
                <w:rFonts w:cs="Arial"/>
                <w:sz w:val="20"/>
                <w:szCs w:val="20"/>
              </w:rPr>
            </w:pPr>
          </w:p>
        </w:tc>
        <w:tc>
          <w:tcPr>
            <w:tcW w:w="2126" w:type="dxa"/>
          </w:tcPr>
          <w:p w:rsidR="000C7C4E" w:rsidRPr="00C94273" w:rsidRDefault="000C7C4E" w:rsidP="001802FC">
            <w:pPr>
              <w:rPr>
                <w:rFonts w:cs="Arial"/>
                <w:sz w:val="20"/>
                <w:szCs w:val="20"/>
              </w:rPr>
            </w:pPr>
          </w:p>
        </w:tc>
        <w:tc>
          <w:tcPr>
            <w:tcW w:w="1276" w:type="dxa"/>
          </w:tcPr>
          <w:p w:rsidR="000C7C4E" w:rsidRPr="00C94273" w:rsidRDefault="000C7C4E" w:rsidP="001802FC">
            <w:pPr>
              <w:rPr>
                <w:rFonts w:cs="Arial"/>
                <w:sz w:val="20"/>
                <w:szCs w:val="20"/>
              </w:rPr>
            </w:pPr>
          </w:p>
        </w:tc>
        <w:tc>
          <w:tcPr>
            <w:tcW w:w="1276" w:type="dxa"/>
          </w:tcPr>
          <w:p w:rsidR="000C7C4E" w:rsidRPr="00C94273" w:rsidRDefault="000C7C4E" w:rsidP="001802FC">
            <w:pPr>
              <w:rPr>
                <w:sz w:val="20"/>
                <w:szCs w:val="20"/>
              </w:rPr>
            </w:pPr>
            <w:r w:rsidRPr="00C94273">
              <w:rPr>
                <w:sz w:val="20"/>
                <w:szCs w:val="20"/>
              </w:rPr>
              <w:t>E</w:t>
            </w:r>
          </w:p>
        </w:tc>
        <w:tc>
          <w:tcPr>
            <w:tcW w:w="5135" w:type="dxa"/>
          </w:tcPr>
          <w:p w:rsidR="000C7C4E" w:rsidRPr="00C94273" w:rsidRDefault="000C7C4E" w:rsidP="001802FC">
            <w:pPr>
              <w:rPr>
                <w:rFonts w:cs="Arial"/>
                <w:sz w:val="20"/>
                <w:szCs w:val="20"/>
              </w:rPr>
            </w:pPr>
            <w:r w:rsidRPr="00C94273">
              <w:rPr>
                <w:rStyle w:val="Hyperlink"/>
                <w:color w:val="auto"/>
                <w:sz w:val="20"/>
                <w:szCs w:val="20"/>
                <w:u w:val="none"/>
              </w:rPr>
              <w:t>IWMI, agriculture</w:t>
            </w:r>
          </w:p>
        </w:tc>
      </w:tr>
    </w:tbl>
    <w:p w:rsidR="007C49C2" w:rsidRPr="00C94273" w:rsidRDefault="007C49C2" w:rsidP="001802FC">
      <w:pPr>
        <w:spacing w:after="0" w:line="240" w:lineRule="auto"/>
        <w:rPr>
          <w:rFonts w:cs="Arial"/>
          <w:sz w:val="20"/>
          <w:szCs w:val="20"/>
        </w:rPr>
      </w:pPr>
    </w:p>
    <w:p w:rsidR="005B70CC" w:rsidRPr="00C94273" w:rsidRDefault="005B70CC">
      <w:pPr>
        <w:rPr>
          <w:rFonts w:cs="Arial"/>
          <w:sz w:val="20"/>
          <w:szCs w:val="20"/>
        </w:rPr>
      </w:pPr>
      <w:r w:rsidRPr="00C94273">
        <w:rPr>
          <w:rFonts w:cs="Arial"/>
          <w:sz w:val="20"/>
          <w:szCs w:val="20"/>
        </w:rPr>
        <w:br w:type="page"/>
      </w:r>
    </w:p>
    <w:tbl>
      <w:tblPr>
        <w:tblStyle w:val="TableGrid"/>
        <w:tblW w:w="0" w:type="auto"/>
        <w:tblCellMar>
          <w:top w:w="57" w:type="dxa"/>
          <w:bottom w:w="57" w:type="dxa"/>
        </w:tblCellMar>
        <w:tblLook w:val="04A0" w:firstRow="1" w:lastRow="0" w:firstColumn="1" w:lastColumn="0" w:noHBand="0" w:noVBand="1"/>
      </w:tblPr>
      <w:tblGrid>
        <w:gridCol w:w="3085"/>
        <w:gridCol w:w="1276"/>
        <w:gridCol w:w="2126"/>
        <w:gridCol w:w="1276"/>
        <w:gridCol w:w="1276"/>
        <w:gridCol w:w="5135"/>
      </w:tblGrid>
      <w:tr w:rsidR="005B70CC" w:rsidRPr="00C94273" w:rsidTr="0043685F">
        <w:trPr>
          <w:cantSplit/>
        </w:trPr>
        <w:tc>
          <w:tcPr>
            <w:tcW w:w="0" w:type="auto"/>
            <w:gridSpan w:val="6"/>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lastRenderedPageBreak/>
              <w:t xml:space="preserve">Thematic Work Area No.5: </w:t>
            </w:r>
            <w:r w:rsidRPr="00C94273">
              <w:t xml:space="preserve"> </w:t>
            </w:r>
            <w:r w:rsidRPr="00C94273">
              <w:rPr>
                <w:b/>
                <w:sz w:val="20"/>
                <w:szCs w:val="20"/>
              </w:rPr>
              <w:t>Climate change and wetlands: innovative methodologies for carbon accounting/assessments related to wetlands</w:t>
            </w:r>
          </w:p>
        </w:tc>
      </w:tr>
      <w:tr w:rsidR="005B70CC" w:rsidRPr="00C94273" w:rsidTr="0043685F">
        <w:trPr>
          <w:cantSplit/>
        </w:trPr>
        <w:tc>
          <w:tcPr>
            <w:tcW w:w="3085"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Title</w:t>
            </w:r>
          </w:p>
        </w:tc>
        <w:tc>
          <w:tcPr>
            <w:tcW w:w="1276"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Type of guidance</w:t>
            </w:r>
          </w:p>
        </w:tc>
        <w:tc>
          <w:tcPr>
            <w:tcW w:w="2126"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Target audience (practitioners, policymakers, scientists)</w:t>
            </w:r>
          </w:p>
        </w:tc>
        <w:tc>
          <w:tcPr>
            <w:tcW w:w="1276"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Ramsar Handbook (4</w:t>
            </w:r>
            <w:r w:rsidRPr="00C94273">
              <w:rPr>
                <w:rFonts w:cs="Arial"/>
                <w:b/>
                <w:sz w:val="20"/>
                <w:szCs w:val="20"/>
                <w:vertAlign w:val="superscript"/>
              </w:rPr>
              <w:t>th</w:t>
            </w:r>
            <w:r w:rsidRPr="00C94273">
              <w:rPr>
                <w:rFonts w:cs="Arial"/>
                <w:b/>
                <w:sz w:val="20"/>
                <w:szCs w:val="20"/>
              </w:rPr>
              <w:t xml:space="preserve"> ed.)</w:t>
            </w:r>
          </w:p>
        </w:tc>
        <w:tc>
          <w:tcPr>
            <w:tcW w:w="1276"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Language</w:t>
            </w:r>
            <w:r w:rsidRPr="00C94273">
              <w:rPr>
                <w:rStyle w:val="FootnoteReference"/>
                <w:rFonts w:cs="Arial"/>
                <w:b/>
                <w:sz w:val="20"/>
                <w:szCs w:val="20"/>
              </w:rPr>
              <w:footnoteReference w:id="5"/>
            </w:r>
          </w:p>
        </w:tc>
        <w:tc>
          <w:tcPr>
            <w:tcW w:w="5135" w:type="dxa"/>
            <w:shd w:val="clear" w:color="auto" w:fill="FDE9D9" w:themeFill="accent6" w:themeFillTint="33"/>
          </w:tcPr>
          <w:p w:rsidR="005B70CC" w:rsidRPr="00C94273" w:rsidRDefault="005B70CC" w:rsidP="005B70CC">
            <w:pPr>
              <w:jc w:val="center"/>
              <w:rPr>
                <w:rFonts w:cs="Arial"/>
                <w:b/>
                <w:sz w:val="20"/>
                <w:szCs w:val="20"/>
              </w:rPr>
            </w:pPr>
            <w:r w:rsidRPr="00C94273">
              <w:rPr>
                <w:rFonts w:cs="Arial"/>
                <w:b/>
                <w:sz w:val="20"/>
                <w:szCs w:val="20"/>
              </w:rPr>
              <w:t>Notes</w:t>
            </w:r>
          </w:p>
        </w:tc>
      </w:tr>
      <w:tr w:rsidR="005B70CC" w:rsidRPr="00C94273" w:rsidTr="005B70CC">
        <w:trPr>
          <w:cantSplit/>
        </w:trPr>
        <w:tc>
          <w:tcPr>
            <w:tcW w:w="0" w:type="auto"/>
            <w:gridSpan w:val="6"/>
            <w:shd w:val="clear" w:color="auto" w:fill="F2F2F2" w:themeFill="background1" w:themeFillShade="F2"/>
          </w:tcPr>
          <w:p w:rsidR="005F520D" w:rsidRPr="00C94273" w:rsidRDefault="005F520D" w:rsidP="005B70CC">
            <w:pPr>
              <w:jc w:val="center"/>
              <w:rPr>
                <w:rFonts w:cs="Arial"/>
                <w:b/>
                <w:sz w:val="20"/>
                <w:szCs w:val="20"/>
              </w:rPr>
            </w:pPr>
            <w:r w:rsidRPr="00C94273">
              <w:rPr>
                <w:rFonts w:cs="Arial"/>
                <w:b/>
                <w:sz w:val="20"/>
                <w:szCs w:val="20"/>
              </w:rPr>
              <w:t>Ramsar Guidance</w:t>
            </w:r>
          </w:p>
        </w:tc>
      </w:tr>
      <w:tr w:rsidR="005B70CC" w:rsidRPr="00C94273" w:rsidTr="0043685F">
        <w:trPr>
          <w:cantSplit/>
        </w:trPr>
        <w:tc>
          <w:tcPr>
            <w:tcW w:w="0" w:type="auto"/>
            <w:gridSpan w:val="6"/>
            <w:shd w:val="clear" w:color="auto" w:fill="FDE9D9" w:themeFill="accent6" w:themeFillTint="33"/>
          </w:tcPr>
          <w:p w:rsidR="004C228B" w:rsidRPr="00C94273" w:rsidRDefault="004C228B" w:rsidP="005B70CC">
            <w:pPr>
              <w:rPr>
                <w:rFonts w:cs="Arial"/>
                <w:b/>
                <w:sz w:val="20"/>
                <w:szCs w:val="20"/>
              </w:rPr>
            </w:pPr>
            <w:r w:rsidRPr="00C94273">
              <w:rPr>
                <w:b/>
                <w:sz w:val="20"/>
                <w:szCs w:val="20"/>
                <w:lang w:val="en-AU"/>
              </w:rPr>
              <w:t>2016-2019 update</w:t>
            </w:r>
          </w:p>
        </w:tc>
      </w:tr>
      <w:tr w:rsidR="005B70CC" w:rsidRPr="00C94273" w:rsidTr="005B70CC">
        <w:trPr>
          <w:cantSplit/>
        </w:trPr>
        <w:tc>
          <w:tcPr>
            <w:tcW w:w="3085" w:type="dxa"/>
          </w:tcPr>
          <w:p w:rsidR="0044295B" w:rsidRPr="00C94273" w:rsidRDefault="001E728F" w:rsidP="005B70CC">
            <w:pPr>
              <w:rPr>
                <w:sz w:val="20"/>
                <w:szCs w:val="20"/>
              </w:rPr>
            </w:pPr>
            <w:hyperlink r:id="rId178" w:history="1">
              <w:r w:rsidR="0044295B" w:rsidRPr="00C94273">
                <w:rPr>
                  <w:rStyle w:val="Hyperlink"/>
                  <w:sz w:val="20"/>
                  <w:szCs w:val="20"/>
                </w:rPr>
                <w:t>Resolution XIII.12: Guidance on identifying peatlands as Wetlands of International Importance (Ramsar Sites) for global climate change regulation as an additional argument to existing Ramsar criteria</w:t>
              </w:r>
            </w:hyperlink>
          </w:p>
        </w:tc>
        <w:tc>
          <w:tcPr>
            <w:tcW w:w="1276" w:type="dxa"/>
          </w:tcPr>
          <w:p w:rsidR="0044295B" w:rsidRPr="00C94273" w:rsidRDefault="0044295B" w:rsidP="005B70CC">
            <w:pPr>
              <w:rPr>
                <w:rFonts w:cs="Arial"/>
                <w:sz w:val="20"/>
                <w:szCs w:val="20"/>
              </w:rPr>
            </w:pPr>
            <w:r w:rsidRPr="00C94273">
              <w:rPr>
                <w:rFonts w:cs="Arial"/>
                <w:sz w:val="20"/>
                <w:szCs w:val="20"/>
              </w:rPr>
              <w:t xml:space="preserve">Technical </w:t>
            </w:r>
          </w:p>
        </w:tc>
        <w:tc>
          <w:tcPr>
            <w:tcW w:w="2126" w:type="dxa"/>
          </w:tcPr>
          <w:p w:rsidR="0044295B" w:rsidRPr="00C94273" w:rsidRDefault="00C77EEA" w:rsidP="005B70CC">
            <w:pPr>
              <w:rPr>
                <w:rFonts w:cs="Arial"/>
                <w:sz w:val="20"/>
                <w:szCs w:val="20"/>
              </w:rPr>
            </w:pPr>
            <w:r w:rsidRPr="00C94273">
              <w:rPr>
                <w:rFonts w:cs="Arial"/>
                <w:sz w:val="20"/>
                <w:szCs w:val="20"/>
              </w:rPr>
              <w:t>Policymakers, p</w:t>
            </w:r>
            <w:r w:rsidR="0044295B" w:rsidRPr="00C94273">
              <w:rPr>
                <w:rFonts w:cs="Arial"/>
                <w:sz w:val="20"/>
                <w:szCs w:val="20"/>
              </w:rPr>
              <w:t xml:space="preserve">ractitioners </w:t>
            </w:r>
          </w:p>
        </w:tc>
        <w:tc>
          <w:tcPr>
            <w:tcW w:w="1276" w:type="dxa"/>
          </w:tcPr>
          <w:p w:rsidR="0044295B" w:rsidRPr="00C94273" w:rsidRDefault="00D91F4B" w:rsidP="005B70CC">
            <w:pPr>
              <w:rPr>
                <w:rFonts w:cs="Arial"/>
                <w:sz w:val="20"/>
                <w:szCs w:val="20"/>
              </w:rPr>
            </w:pPr>
            <w:r w:rsidRPr="00C94273">
              <w:rPr>
                <w:rFonts w:cs="Arial"/>
                <w:sz w:val="20"/>
                <w:szCs w:val="20"/>
              </w:rPr>
              <w:t>Not yet included in a Handbook</w:t>
            </w:r>
          </w:p>
        </w:tc>
        <w:tc>
          <w:tcPr>
            <w:tcW w:w="1276" w:type="dxa"/>
          </w:tcPr>
          <w:p w:rsidR="0044295B" w:rsidRPr="00C94273" w:rsidRDefault="0044295B" w:rsidP="005B70CC">
            <w:pPr>
              <w:rPr>
                <w:sz w:val="20"/>
                <w:szCs w:val="20"/>
              </w:rPr>
            </w:pPr>
            <w:r w:rsidRPr="00C94273">
              <w:rPr>
                <w:sz w:val="20"/>
                <w:szCs w:val="20"/>
              </w:rPr>
              <w:t>E, F, S</w:t>
            </w:r>
          </w:p>
        </w:tc>
        <w:tc>
          <w:tcPr>
            <w:tcW w:w="5135" w:type="dxa"/>
          </w:tcPr>
          <w:p w:rsidR="0044295B" w:rsidRPr="00C94273" w:rsidRDefault="0044295B" w:rsidP="005B70CC">
            <w:pPr>
              <w:rPr>
                <w:sz w:val="20"/>
                <w:szCs w:val="20"/>
                <w:lang w:val="en-AU"/>
              </w:rPr>
            </w:pPr>
          </w:p>
        </w:tc>
      </w:tr>
      <w:tr w:rsidR="005B70CC" w:rsidRPr="00C94273" w:rsidTr="005B70CC">
        <w:trPr>
          <w:cantSplit/>
        </w:trPr>
        <w:tc>
          <w:tcPr>
            <w:tcW w:w="3085" w:type="dxa"/>
          </w:tcPr>
          <w:p w:rsidR="00C03804" w:rsidRPr="00C94273" w:rsidRDefault="001E728F" w:rsidP="005B70CC">
            <w:pPr>
              <w:rPr>
                <w:sz w:val="20"/>
                <w:szCs w:val="20"/>
              </w:rPr>
            </w:pPr>
            <w:hyperlink r:id="rId179" w:history="1">
              <w:r w:rsidR="00C03804" w:rsidRPr="00C94273">
                <w:rPr>
                  <w:rStyle w:val="Hyperlink"/>
                  <w:sz w:val="20"/>
                  <w:szCs w:val="20"/>
                </w:rPr>
                <w:t>Resolution XIII.13: Restoration of degraded peatlands to mitigate and adapt to climate change and enhance biodiversity and disaster risk reduction</w:t>
              </w:r>
            </w:hyperlink>
          </w:p>
        </w:tc>
        <w:tc>
          <w:tcPr>
            <w:tcW w:w="1276" w:type="dxa"/>
          </w:tcPr>
          <w:p w:rsidR="00C03804" w:rsidRPr="00C94273" w:rsidRDefault="00C03804" w:rsidP="005B70CC">
            <w:pPr>
              <w:rPr>
                <w:rFonts w:cs="Arial"/>
                <w:sz w:val="20"/>
                <w:szCs w:val="20"/>
              </w:rPr>
            </w:pPr>
            <w:r w:rsidRPr="00C94273">
              <w:rPr>
                <w:rFonts w:cs="Arial"/>
                <w:sz w:val="20"/>
                <w:szCs w:val="20"/>
              </w:rPr>
              <w:t xml:space="preserve">Technical </w:t>
            </w:r>
          </w:p>
        </w:tc>
        <w:tc>
          <w:tcPr>
            <w:tcW w:w="2126" w:type="dxa"/>
          </w:tcPr>
          <w:p w:rsidR="00C03804" w:rsidRPr="00C94273" w:rsidRDefault="00C03804" w:rsidP="005B70CC">
            <w:pPr>
              <w:rPr>
                <w:rFonts w:cs="Arial"/>
                <w:sz w:val="20"/>
                <w:szCs w:val="20"/>
              </w:rPr>
            </w:pPr>
            <w:r w:rsidRPr="00C94273">
              <w:rPr>
                <w:rFonts w:cs="Arial"/>
                <w:sz w:val="20"/>
                <w:szCs w:val="20"/>
              </w:rPr>
              <w:t xml:space="preserve">Policymakers, practitioners </w:t>
            </w:r>
          </w:p>
        </w:tc>
        <w:tc>
          <w:tcPr>
            <w:tcW w:w="1276" w:type="dxa"/>
          </w:tcPr>
          <w:p w:rsidR="00C03804" w:rsidRPr="00C94273" w:rsidRDefault="00D91F4B" w:rsidP="005B70CC">
            <w:pPr>
              <w:rPr>
                <w:rFonts w:cs="Arial"/>
                <w:sz w:val="20"/>
                <w:szCs w:val="20"/>
              </w:rPr>
            </w:pPr>
            <w:r w:rsidRPr="00C94273">
              <w:rPr>
                <w:rFonts w:cs="Arial"/>
                <w:sz w:val="20"/>
                <w:szCs w:val="20"/>
              </w:rPr>
              <w:t>Not yet included in a Handbook</w:t>
            </w:r>
          </w:p>
        </w:tc>
        <w:tc>
          <w:tcPr>
            <w:tcW w:w="1276" w:type="dxa"/>
          </w:tcPr>
          <w:p w:rsidR="00C03804" w:rsidRPr="00C94273" w:rsidRDefault="00C03804" w:rsidP="005B70CC">
            <w:pPr>
              <w:rPr>
                <w:sz w:val="20"/>
                <w:szCs w:val="20"/>
              </w:rPr>
            </w:pPr>
            <w:r w:rsidRPr="00C94273">
              <w:rPr>
                <w:sz w:val="20"/>
                <w:szCs w:val="20"/>
              </w:rPr>
              <w:t>E, F, S</w:t>
            </w:r>
          </w:p>
        </w:tc>
        <w:tc>
          <w:tcPr>
            <w:tcW w:w="5135" w:type="dxa"/>
          </w:tcPr>
          <w:p w:rsidR="00C03804" w:rsidRPr="00C94273" w:rsidRDefault="00C03804" w:rsidP="005B70CC">
            <w:pPr>
              <w:rPr>
                <w:sz w:val="20"/>
                <w:szCs w:val="20"/>
                <w:lang w:val="en-AU"/>
              </w:rPr>
            </w:pPr>
          </w:p>
        </w:tc>
      </w:tr>
      <w:tr w:rsidR="005B70CC" w:rsidRPr="00C94273" w:rsidTr="005B70CC">
        <w:trPr>
          <w:cantSplit/>
        </w:trPr>
        <w:tc>
          <w:tcPr>
            <w:tcW w:w="3085" w:type="dxa"/>
          </w:tcPr>
          <w:p w:rsidR="00C03804" w:rsidRPr="00C94273" w:rsidRDefault="001E728F" w:rsidP="005B70CC">
            <w:pPr>
              <w:rPr>
                <w:sz w:val="20"/>
                <w:szCs w:val="20"/>
              </w:rPr>
            </w:pPr>
            <w:hyperlink r:id="rId180" w:history="1">
              <w:r w:rsidR="00C03804" w:rsidRPr="00C94273">
                <w:rPr>
                  <w:rStyle w:val="Hyperlink"/>
                  <w:sz w:val="20"/>
                  <w:szCs w:val="20"/>
                </w:rPr>
                <w:t>Briefing Note 10: Wetland restoration for climate change resilience</w:t>
              </w:r>
            </w:hyperlink>
          </w:p>
        </w:tc>
        <w:tc>
          <w:tcPr>
            <w:tcW w:w="1276" w:type="dxa"/>
          </w:tcPr>
          <w:p w:rsidR="00C03804" w:rsidRPr="00C94273" w:rsidRDefault="00C03804" w:rsidP="005B70CC">
            <w:pPr>
              <w:rPr>
                <w:rFonts w:cs="Arial"/>
                <w:sz w:val="20"/>
                <w:szCs w:val="20"/>
              </w:rPr>
            </w:pPr>
            <w:r w:rsidRPr="00C94273">
              <w:rPr>
                <w:rFonts w:cs="Arial"/>
                <w:sz w:val="20"/>
                <w:szCs w:val="20"/>
              </w:rPr>
              <w:t>Technical</w:t>
            </w:r>
          </w:p>
        </w:tc>
        <w:tc>
          <w:tcPr>
            <w:tcW w:w="2126" w:type="dxa"/>
          </w:tcPr>
          <w:p w:rsidR="00C03804" w:rsidRPr="00C94273" w:rsidRDefault="00C03804" w:rsidP="005B70CC">
            <w:pPr>
              <w:rPr>
                <w:rFonts w:cs="Arial"/>
                <w:sz w:val="20"/>
                <w:szCs w:val="20"/>
              </w:rPr>
            </w:pPr>
            <w:r w:rsidRPr="00C94273">
              <w:rPr>
                <w:rFonts w:cs="Arial"/>
                <w:sz w:val="20"/>
                <w:szCs w:val="20"/>
              </w:rPr>
              <w:t>Practitioners</w:t>
            </w:r>
          </w:p>
        </w:tc>
        <w:tc>
          <w:tcPr>
            <w:tcW w:w="1276" w:type="dxa"/>
          </w:tcPr>
          <w:p w:rsidR="00C03804" w:rsidRPr="00C94273" w:rsidRDefault="00C03804" w:rsidP="005B70CC">
            <w:pPr>
              <w:rPr>
                <w:rFonts w:cs="Arial"/>
                <w:sz w:val="20"/>
                <w:szCs w:val="20"/>
              </w:rPr>
            </w:pPr>
          </w:p>
        </w:tc>
        <w:tc>
          <w:tcPr>
            <w:tcW w:w="1276" w:type="dxa"/>
          </w:tcPr>
          <w:p w:rsidR="00C03804" w:rsidRPr="00C94273" w:rsidRDefault="00C03804" w:rsidP="005B70CC">
            <w:pPr>
              <w:rPr>
                <w:sz w:val="20"/>
                <w:szCs w:val="20"/>
              </w:rPr>
            </w:pPr>
            <w:r w:rsidRPr="00C94273">
              <w:rPr>
                <w:sz w:val="20"/>
                <w:szCs w:val="20"/>
              </w:rPr>
              <w:t>E</w:t>
            </w:r>
          </w:p>
        </w:tc>
        <w:tc>
          <w:tcPr>
            <w:tcW w:w="5135" w:type="dxa"/>
          </w:tcPr>
          <w:p w:rsidR="00C03804" w:rsidRPr="00C94273" w:rsidRDefault="00C03804" w:rsidP="005B70CC">
            <w:pPr>
              <w:rPr>
                <w:sz w:val="20"/>
                <w:szCs w:val="20"/>
              </w:rPr>
            </w:pPr>
            <w:r w:rsidRPr="00C94273">
              <w:rPr>
                <w:sz w:val="20"/>
                <w:szCs w:val="20"/>
                <w:lang w:val="en-AU"/>
              </w:rPr>
              <w:t xml:space="preserve">Summary: the Briefing Note </w:t>
            </w:r>
            <w:r w:rsidR="00A23C16" w:rsidRPr="00C94273">
              <w:rPr>
                <w:sz w:val="20"/>
                <w:szCs w:val="20"/>
                <w:lang w:val="en-AU"/>
              </w:rPr>
              <w:t>“</w:t>
            </w:r>
            <w:r w:rsidRPr="00C94273">
              <w:rPr>
                <w:sz w:val="20"/>
                <w:szCs w:val="20"/>
                <w:lang w:val="en-AU"/>
              </w:rPr>
              <w:t xml:space="preserve">provides </w:t>
            </w:r>
            <w:r w:rsidRPr="00C94273">
              <w:rPr>
                <w:sz w:val="20"/>
                <w:szCs w:val="20"/>
              </w:rPr>
              <w:t>key information from recent reports on wetlands and climate change mitigation and adaptation. It includes assessments of carbon uptake and storage, which find that the continuing loss and degradation of wetlands has resulted in significant losses of their stored carbon to the atmosphere. Evidence of the value of wetlands in reducing disaster risk is reviewed, showing that the loss of wetlands is associated with greater human and ecological impacts, and economic costs. It also includes a discussion of approaches to wetland restoration to help recover these benefits. It uses the term restoration in the broadest sense of the Ramsar Convention, which includes both projects that aim to return sites to their original conditions and projects that improve wetland functions without necessarily promoting a return to pre-disturbance conditions.</w:t>
            </w:r>
            <w:r w:rsidR="00A23C16" w:rsidRPr="00C94273">
              <w:rPr>
                <w:sz w:val="20"/>
                <w:szCs w:val="20"/>
              </w:rPr>
              <w:t>”</w:t>
            </w:r>
          </w:p>
        </w:tc>
      </w:tr>
      <w:tr w:rsidR="005B70CC" w:rsidRPr="00C94273" w:rsidTr="0043685F">
        <w:trPr>
          <w:cantSplit/>
        </w:trPr>
        <w:tc>
          <w:tcPr>
            <w:tcW w:w="0" w:type="auto"/>
            <w:gridSpan w:val="6"/>
            <w:shd w:val="clear" w:color="auto" w:fill="FDE9D9" w:themeFill="accent6" w:themeFillTint="33"/>
          </w:tcPr>
          <w:p w:rsidR="004C228B" w:rsidRPr="00C94273" w:rsidRDefault="004C228B" w:rsidP="005B70CC">
            <w:pPr>
              <w:rPr>
                <w:b/>
                <w:sz w:val="20"/>
                <w:szCs w:val="20"/>
              </w:rPr>
            </w:pPr>
            <w:r w:rsidRPr="00C94273">
              <w:rPr>
                <w:b/>
                <w:sz w:val="20"/>
                <w:szCs w:val="20"/>
              </w:rPr>
              <w:t>Up to 2015</w:t>
            </w:r>
          </w:p>
        </w:tc>
      </w:tr>
      <w:tr w:rsidR="005B70CC" w:rsidRPr="00C94273" w:rsidTr="005B70CC">
        <w:trPr>
          <w:cantSplit/>
        </w:trPr>
        <w:tc>
          <w:tcPr>
            <w:tcW w:w="3085" w:type="dxa"/>
          </w:tcPr>
          <w:p w:rsidR="00C03804" w:rsidRPr="00C94273" w:rsidRDefault="001E728F" w:rsidP="005B70CC">
            <w:pPr>
              <w:rPr>
                <w:rFonts w:cs="Arial"/>
                <w:sz w:val="20"/>
                <w:szCs w:val="20"/>
              </w:rPr>
            </w:pPr>
            <w:hyperlink r:id="rId181" w:history="1">
              <w:r w:rsidR="00C03804" w:rsidRPr="00C94273">
                <w:rPr>
                  <w:rStyle w:val="Hyperlink"/>
                  <w:sz w:val="20"/>
                  <w:szCs w:val="20"/>
                </w:rPr>
                <w:t>Resolution VIII.16: Principles and guidelines for wetland restoration</w:t>
              </w:r>
            </w:hyperlink>
          </w:p>
        </w:tc>
        <w:tc>
          <w:tcPr>
            <w:tcW w:w="1276" w:type="dxa"/>
          </w:tcPr>
          <w:p w:rsidR="00C03804" w:rsidRPr="00C94273" w:rsidRDefault="00C03804" w:rsidP="005B70CC">
            <w:pPr>
              <w:rPr>
                <w:rFonts w:cs="Arial"/>
                <w:sz w:val="20"/>
                <w:szCs w:val="20"/>
              </w:rPr>
            </w:pPr>
            <w:r w:rsidRPr="00C94273">
              <w:rPr>
                <w:rFonts w:cs="Arial"/>
                <w:sz w:val="20"/>
                <w:szCs w:val="20"/>
              </w:rPr>
              <w:t xml:space="preserve">Technical </w:t>
            </w:r>
          </w:p>
        </w:tc>
        <w:tc>
          <w:tcPr>
            <w:tcW w:w="2126" w:type="dxa"/>
          </w:tcPr>
          <w:p w:rsidR="00C03804" w:rsidRPr="00C94273" w:rsidRDefault="001802FC" w:rsidP="005B70CC">
            <w:pPr>
              <w:rPr>
                <w:rFonts w:cs="Arial"/>
                <w:sz w:val="20"/>
                <w:szCs w:val="20"/>
              </w:rPr>
            </w:pPr>
            <w:r w:rsidRPr="00C94273">
              <w:rPr>
                <w:rFonts w:cs="Arial"/>
                <w:sz w:val="20"/>
                <w:szCs w:val="20"/>
              </w:rPr>
              <w:t>Policymakers, practitioners</w:t>
            </w:r>
          </w:p>
        </w:tc>
        <w:tc>
          <w:tcPr>
            <w:tcW w:w="1276" w:type="dxa"/>
          </w:tcPr>
          <w:p w:rsidR="00C03804" w:rsidRPr="00C94273" w:rsidRDefault="00C03804" w:rsidP="005B70CC">
            <w:pPr>
              <w:rPr>
                <w:rFonts w:cs="Arial"/>
                <w:sz w:val="20"/>
                <w:szCs w:val="20"/>
              </w:rPr>
            </w:pPr>
            <w:r w:rsidRPr="00C94273">
              <w:rPr>
                <w:rFonts w:cs="Arial"/>
                <w:sz w:val="20"/>
                <w:szCs w:val="20"/>
              </w:rPr>
              <w:t>15, 18</w:t>
            </w:r>
          </w:p>
        </w:tc>
        <w:tc>
          <w:tcPr>
            <w:tcW w:w="1276" w:type="dxa"/>
          </w:tcPr>
          <w:p w:rsidR="00C03804" w:rsidRPr="00C94273" w:rsidRDefault="00C03804" w:rsidP="005B70CC">
            <w:pPr>
              <w:rPr>
                <w:rFonts w:cs="Arial"/>
                <w:sz w:val="20"/>
                <w:szCs w:val="20"/>
              </w:rPr>
            </w:pPr>
            <w:r w:rsidRPr="00C94273">
              <w:rPr>
                <w:sz w:val="20"/>
                <w:szCs w:val="20"/>
              </w:rPr>
              <w:t>EFS</w:t>
            </w:r>
          </w:p>
        </w:tc>
        <w:tc>
          <w:tcPr>
            <w:tcW w:w="5135" w:type="dxa"/>
          </w:tcPr>
          <w:p w:rsidR="00C03804" w:rsidRPr="00C94273" w:rsidRDefault="00C03804" w:rsidP="005B70CC">
            <w:pPr>
              <w:rPr>
                <w:sz w:val="20"/>
                <w:szCs w:val="20"/>
              </w:rPr>
            </w:pPr>
          </w:p>
        </w:tc>
      </w:tr>
      <w:tr w:rsidR="005B70CC" w:rsidRPr="00C94273" w:rsidTr="005B70CC">
        <w:trPr>
          <w:cantSplit/>
        </w:trPr>
        <w:tc>
          <w:tcPr>
            <w:tcW w:w="3085" w:type="dxa"/>
          </w:tcPr>
          <w:p w:rsidR="00C03804" w:rsidRPr="00C94273" w:rsidRDefault="001E728F" w:rsidP="005B70CC">
            <w:pPr>
              <w:rPr>
                <w:rFonts w:cs="Arial"/>
                <w:sz w:val="20"/>
                <w:szCs w:val="20"/>
              </w:rPr>
            </w:pPr>
            <w:hyperlink r:id="rId182" w:history="1">
              <w:r w:rsidR="00C03804" w:rsidRPr="00C94273">
                <w:rPr>
                  <w:rStyle w:val="Hyperlink"/>
                  <w:sz w:val="20"/>
                  <w:szCs w:val="20"/>
                </w:rPr>
                <w:t>COP10 DOC. 25: Additional information on climate change and wetlands issues</w:t>
              </w:r>
            </w:hyperlink>
            <w:r w:rsidR="00C03804" w:rsidRPr="00C94273">
              <w:rPr>
                <w:rStyle w:val="Hyperlink"/>
                <w:sz w:val="20"/>
                <w:szCs w:val="20"/>
              </w:rPr>
              <w:t xml:space="preserve"> (Resolution X.24 Climate change and wetlands)</w:t>
            </w:r>
          </w:p>
        </w:tc>
        <w:tc>
          <w:tcPr>
            <w:tcW w:w="1276" w:type="dxa"/>
          </w:tcPr>
          <w:p w:rsidR="00C03804" w:rsidRPr="00C94273" w:rsidRDefault="00C03804" w:rsidP="005B70CC">
            <w:pPr>
              <w:rPr>
                <w:rFonts w:cs="Arial"/>
                <w:sz w:val="20"/>
                <w:szCs w:val="20"/>
              </w:rPr>
            </w:pPr>
            <w:r w:rsidRPr="00C94273">
              <w:rPr>
                <w:rFonts w:cs="Arial"/>
                <w:sz w:val="20"/>
                <w:szCs w:val="20"/>
              </w:rPr>
              <w:t xml:space="preserve">Technical </w:t>
            </w:r>
          </w:p>
        </w:tc>
        <w:tc>
          <w:tcPr>
            <w:tcW w:w="2126" w:type="dxa"/>
          </w:tcPr>
          <w:p w:rsidR="00C03804" w:rsidRPr="00C94273" w:rsidRDefault="00C03804" w:rsidP="005B70CC">
            <w:pPr>
              <w:rPr>
                <w:rFonts w:cs="Arial"/>
                <w:sz w:val="20"/>
                <w:szCs w:val="20"/>
              </w:rPr>
            </w:pPr>
            <w:r w:rsidRPr="00C94273">
              <w:rPr>
                <w:rFonts w:cs="Arial"/>
                <w:sz w:val="20"/>
                <w:szCs w:val="20"/>
              </w:rPr>
              <w:t>Policymakers, practitioners</w:t>
            </w:r>
          </w:p>
        </w:tc>
        <w:tc>
          <w:tcPr>
            <w:tcW w:w="1276" w:type="dxa"/>
          </w:tcPr>
          <w:p w:rsidR="00C03804" w:rsidRPr="00C94273" w:rsidRDefault="00C03804" w:rsidP="005B70CC">
            <w:pPr>
              <w:rPr>
                <w:rFonts w:cs="Arial"/>
                <w:sz w:val="20"/>
                <w:szCs w:val="20"/>
              </w:rPr>
            </w:pPr>
          </w:p>
        </w:tc>
        <w:tc>
          <w:tcPr>
            <w:tcW w:w="1276" w:type="dxa"/>
          </w:tcPr>
          <w:p w:rsidR="00C03804" w:rsidRPr="00C94273" w:rsidRDefault="00C03804" w:rsidP="005B70CC">
            <w:pPr>
              <w:rPr>
                <w:rFonts w:cs="Arial"/>
                <w:sz w:val="20"/>
                <w:szCs w:val="20"/>
              </w:rPr>
            </w:pPr>
            <w:r w:rsidRPr="00C94273">
              <w:rPr>
                <w:sz w:val="20"/>
                <w:szCs w:val="20"/>
              </w:rPr>
              <w:t>E</w:t>
            </w:r>
          </w:p>
        </w:tc>
        <w:tc>
          <w:tcPr>
            <w:tcW w:w="5135" w:type="dxa"/>
          </w:tcPr>
          <w:p w:rsidR="00C03804" w:rsidRPr="00C94273" w:rsidRDefault="00C03804" w:rsidP="005B70CC">
            <w:pPr>
              <w:rPr>
                <w:sz w:val="20"/>
                <w:szCs w:val="20"/>
              </w:rPr>
            </w:pPr>
            <w:r w:rsidRPr="00C94273">
              <w:rPr>
                <w:sz w:val="20"/>
                <w:szCs w:val="20"/>
              </w:rPr>
              <w:t xml:space="preserve"> </w:t>
            </w:r>
            <w:r w:rsidRPr="00C94273">
              <w:rPr>
                <w:sz w:val="20"/>
                <w:szCs w:val="20"/>
                <w:u w:val="single"/>
              </w:rPr>
              <w:t>Summary</w:t>
            </w:r>
            <w:r w:rsidRPr="00C94273">
              <w:rPr>
                <w:sz w:val="20"/>
                <w:szCs w:val="20"/>
              </w:rPr>
              <w:t>: “This information paper, prepared by the Scientific &amp; Technical Review Panel (STRP) to provide supporting information for the consideration of COP10 DR 24 on ‘Climate change and wetlands’ provides a digest and summary of recent work undertaken by the STRP concerning a range of issues relevant to addressing wetlands and climate interactions.”</w:t>
            </w:r>
          </w:p>
        </w:tc>
      </w:tr>
      <w:tr w:rsidR="005B70CC" w:rsidRPr="00C94273" w:rsidTr="005B70CC">
        <w:trPr>
          <w:cantSplit/>
        </w:trPr>
        <w:tc>
          <w:tcPr>
            <w:tcW w:w="3085" w:type="dxa"/>
          </w:tcPr>
          <w:p w:rsidR="00C03804" w:rsidRPr="00C94273" w:rsidRDefault="001E728F" w:rsidP="005B70CC">
            <w:pPr>
              <w:rPr>
                <w:rFonts w:cs="Arial"/>
                <w:sz w:val="20"/>
                <w:szCs w:val="20"/>
              </w:rPr>
            </w:pPr>
            <w:hyperlink r:id="rId183" w:history="1">
              <w:r w:rsidR="00C03804" w:rsidRPr="00C94273">
                <w:rPr>
                  <w:rStyle w:val="Hyperlink"/>
                  <w:sz w:val="20"/>
                  <w:szCs w:val="20"/>
                </w:rPr>
                <w:t>STRP Briefing Note No. 4: The benefits of wetland restoration</w:t>
              </w:r>
            </w:hyperlink>
          </w:p>
        </w:tc>
        <w:tc>
          <w:tcPr>
            <w:tcW w:w="1276" w:type="dxa"/>
          </w:tcPr>
          <w:p w:rsidR="00C03804" w:rsidRPr="00C94273" w:rsidRDefault="00C03804" w:rsidP="005B70CC">
            <w:pPr>
              <w:rPr>
                <w:rFonts w:cs="Arial"/>
                <w:sz w:val="20"/>
                <w:szCs w:val="20"/>
              </w:rPr>
            </w:pPr>
            <w:r w:rsidRPr="00C94273">
              <w:rPr>
                <w:rFonts w:cs="Arial"/>
                <w:sz w:val="20"/>
                <w:szCs w:val="20"/>
              </w:rPr>
              <w:t xml:space="preserve">Technical </w:t>
            </w:r>
          </w:p>
        </w:tc>
        <w:tc>
          <w:tcPr>
            <w:tcW w:w="2126" w:type="dxa"/>
          </w:tcPr>
          <w:p w:rsidR="00C03804" w:rsidRPr="00C94273" w:rsidRDefault="00C03804" w:rsidP="005B70CC">
            <w:pPr>
              <w:rPr>
                <w:rFonts w:cs="Arial"/>
                <w:sz w:val="20"/>
                <w:szCs w:val="20"/>
              </w:rPr>
            </w:pPr>
            <w:r w:rsidRPr="00C94273">
              <w:rPr>
                <w:rFonts w:cs="Arial"/>
                <w:sz w:val="20"/>
                <w:szCs w:val="20"/>
              </w:rPr>
              <w:t>Practitioners</w:t>
            </w:r>
          </w:p>
        </w:tc>
        <w:tc>
          <w:tcPr>
            <w:tcW w:w="1276" w:type="dxa"/>
          </w:tcPr>
          <w:p w:rsidR="00C03804" w:rsidRPr="00C94273" w:rsidRDefault="00C03804" w:rsidP="005B70CC">
            <w:pPr>
              <w:rPr>
                <w:rFonts w:cs="Arial"/>
                <w:sz w:val="20"/>
                <w:szCs w:val="20"/>
              </w:rPr>
            </w:pPr>
          </w:p>
        </w:tc>
        <w:tc>
          <w:tcPr>
            <w:tcW w:w="1276" w:type="dxa"/>
          </w:tcPr>
          <w:p w:rsidR="00C03804" w:rsidRPr="00C94273" w:rsidRDefault="00C03804" w:rsidP="005B70CC">
            <w:pPr>
              <w:rPr>
                <w:rFonts w:cs="Arial"/>
                <w:sz w:val="20"/>
                <w:szCs w:val="20"/>
              </w:rPr>
            </w:pPr>
            <w:r w:rsidRPr="00C94273">
              <w:rPr>
                <w:sz w:val="20"/>
                <w:szCs w:val="20"/>
              </w:rPr>
              <w:t>EFS</w:t>
            </w:r>
          </w:p>
        </w:tc>
        <w:tc>
          <w:tcPr>
            <w:tcW w:w="5135" w:type="dxa"/>
          </w:tcPr>
          <w:p w:rsidR="00C03804" w:rsidRPr="00C94273" w:rsidRDefault="00C03804" w:rsidP="005B70CC">
            <w:pPr>
              <w:rPr>
                <w:sz w:val="20"/>
                <w:szCs w:val="20"/>
              </w:rPr>
            </w:pPr>
            <w:r w:rsidRPr="00C94273">
              <w:rPr>
                <w:sz w:val="20"/>
                <w:szCs w:val="20"/>
                <w:u w:val="single"/>
              </w:rPr>
              <w:t>Summary</w:t>
            </w:r>
            <w:r w:rsidRPr="00C94273">
              <w:rPr>
                <w:sz w:val="20"/>
                <w:szCs w:val="20"/>
              </w:rPr>
              <w:t>: “The primary objective of this Briefing Note is to raise awareness, across all sectors, of the potential benefits of wetland restoration. Its intention is to catalyse efforts that stem the loss and degradation of wetlands, enhance ecosystem functioning, and thus increase wetland benefits. By highlighting the linkages with existing Ramsar documentation, this Briefing Note expands upon the existing guidance on wetland restoration while referencing other examples of publicly available documents . . . .”</w:t>
            </w:r>
          </w:p>
        </w:tc>
      </w:tr>
      <w:tr w:rsidR="005B70CC" w:rsidRPr="00C94273" w:rsidTr="005B70CC">
        <w:trPr>
          <w:cantSplit/>
        </w:trPr>
        <w:tc>
          <w:tcPr>
            <w:tcW w:w="3085" w:type="dxa"/>
          </w:tcPr>
          <w:p w:rsidR="00C03804" w:rsidRPr="00C94273" w:rsidRDefault="001E728F" w:rsidP="005B70CC">
            <w:pPr>
              <w:rPr>
                <w:sz w:val="20"/>
                <w:szCs w:val="20"/>
              </w:rPr>
            </w:pPr>
            <w:hyperlink r:id="rId184" w:history="1">
              <w:r w:rsidR="00C03804" w:rsidRPr="00C94273">
                <w:rPr>
                  <w:rStyle w:val="Hyperlink"/>
                  <w:sz w:val="20"/>
                  <w:szCs w:val="20"/>
                </w:rPr>
                <w:t>STRP Briefing Note No. 5: Evaluating the risk to Ramsar Sites from climate change induced sea level rise</w:t>
              </w:r>
            </w:hyperlink>
          </w:p>
        </w:tc>
        <w:tc>
          <w:tcPr>
            <w:tcW w:w="1276" w:type="dxa"/>
          </w:tcPr>
          <w:p w:rsidR="00C03804" w:rsidRPr="00C94273" w:rsidRDefault="001802FC" w:rsidP="005B70CC">
            <w:pPr>
              <w:rPr>
                <w:rFonts w:cs="Arial"/>
                <w:sz w:val="20"/>
                <w:szCs w:val="20"/>
              </w:rPr>
            </w:pPr>
            <w:r w:rsidRPr="00C94273">
              <w:rPr>
                <w:rFonts w:cs="Arial"/>
                <w:sz w:val="20"/>
                <w:szCs w:val="20"/>
              </w:rPr>
              <w:t>Scientific / technical</w:t>
            </w:r>
            <w:r w:rsidR="00C03804" w:rsidRPr="00C94273">
              <w:rPr>
                <w:rFonts w:cs="Arial"/>
                <w:sz w:val="20"/>
                <w:szCs w:val="20"/>
              </w:rPr>
              <w:t xml:space="preserve"> </w:t>
            </w:r>
          </w:p>
        </w:tc>
        <w:tc>
          <w:tcPr>
            <w:tcW w:w="2126" w:type="dxa"/>
          </w:tcPr>
          <w:p w:rsidR="00C03804" w:rsidRPr="00C94273" w:rsidRDefault="001802FC" w:rsidP="005B70CC">
            <w:pPr>
              <w:rPr>
                <w:rFonts w:cs="Arial"/>
                <w:sz w:val="20"/>
                <w:szCs w:val="20"/>
              </w:rPr>
            </w:pPr>
            <w:r w:rsidRPr="00C94273">
              <w:rPr>
                <w:rFonts w:cs="Arial"/>
                <w:sz w:val="20"/>
                <w:szCs w:val="20"/>
              </w:rPr>
              <w:t>Scientists / practitioners</w:t>
            </w:r>
          </w:p>
        </w:tc>
        <w:tc>
          <w:tcPr>
            <w:tcW w:w="1276" w:type="dxa"/>
          </w:tcPr>
          <w:p w:rsidR="00C03804" w:rsidRPr="00C94273" w:rsidRDefault="00C03804" w:rsidP="005B70CC">
            <w:pPr>
              <w:rPr>
                <w:rFonts w:cs="Arial"/>
                <w:sz w:val="20"/>
                <w:szCs w:val="20"/>
              </w:rPr>
            </w:pPr>
          </w:p>
        </w:tc>
        <w:tc>
          <w:tcPr>
            <w:tcW w:w="1276" w:type="dxa"/>
          </w:tcPr>
          <w:p w:rsidR="00C03804" w:rsidRPr="00C94273" w:rsidRDefault="00C03804" w:rsidP="005B70CC">
            <w:pPr>
              <w:rPr>
                <w:sz w:val="20"/>
                <w:szCs w:val="20"/>
              </w:rPr>
            </w:pPr>
            <w:r w:rsidRPr="00C94273">
              <w:rPr>
                <w:sz w:val="20"/>
                <w:szCs w:val="20"/>
              </w:rPr>
              <w:t>E</w:t>
            </w:r>
          </w:p>
        </w:tc>
        <w:tc>
          <w:tcPr>
            <w:tcW w:w="5135" w:type="dxa"/>
          </w:tcPr>
          <w:p w:rsidR="00C03804" w:rsidRPr="00C94273" w:rsidRDefault="00C03804" w:rsidP="005B70CC">
            <w:pPr>
              <w:rPr>
                <w:sz w:val="20"/>
                <w:szCs w:val="20"/>
              </w:rPr>
            </w:pPr>
            <w:r w:rsidRPr="00C94273">
              <w:rPr>
                <w:sz w:val="20"/>
                <w:szCs w:val="20"/>
                <w:u w:val="single"/>
              </w:rPr>
              <w:t>Summary</w:t>
            </w:r>
            <w:r w:rsidRPr="00C94273">
              <w:rPr>
                <w:sz w:val="20"/>
                <w:szCs w:val="20"/>
              </w:rPr>
              <w:t xml:space="preserve">: “This Briefing Note and the accompanying web map service and data sets, developed by the </w:t>
            </w:r>
            <w:proofErr w:type="spellStart"/>
            <w:r w:rsidRPr="00C94273">
              <w:rPr>
                <w:sz w:val="20"/>
                <w:szCs w:val="20"/>
              </w:rPr>
              <w:t>Center</w:t>
            </w:r>
            <w:proofErr w:type="spellEnd"/>
            <w:r w:rsidRPr="00C94273">
              <w:rPr>
                <w:sz w:val="20"/>
                <w:szCs w:val="20"/>
              </w:rPr>
              <w:t xml:space="preserve"> for International Earth Science Information Network (CIESIN) of Columbia University, provide a preliminary assessment of the risk to coastal wetlands designated as Wetlands of International Importance (Ramsar Sites) under the Ramsar Convention on Wetlands from rising sea levels due to climate change. . . . [T]his report represents a first-order risk assessment.”</w:t>
            </w:r>
          </w:p>
        </w:tc>
      </w:tr>
      <w:tr w:rsidR="005B70CC" w:rsidRPr="00C94273" w:rsidTr="005B70CC">
        <w:trPr>
          <w:cantSplit/>
        </w:trPr>
        <w:tc>
          <w:tcPr>
            <w:tcW w:w="3085" w:type="dxa"/>
          </w:tcPr>
          <w:p w:rsidR="00C03804" w:rsidRPr="00C94273" w:rsidRDefault="001E728F" w:rsidP="005B70CC">
            <w:pPr>
              <w:rPr>
                <w:sz w:val="20"/>
                <w:szCs w:val="20"/>
              </w:rPr>
            </w:pPr>
            <w:hyperlink r:id="rId185" w:history="1">
              <w:r w:rsidR="00C03804" w:rsidRPr="00C94273">
                <w:rPr>
                  <w:rStyle w:val="Hyperlink"/>
                  <w:sz w:val="20"/>
                  <w:szCs w:val="20"/>
                </w:rPr>
                <w:t>Ramsar Technical Report No. 5: A Framework for assessing the vulnerability of wetlands to climate change</w:t>
              </w:r>
            </w:hyperlink>
          </w:p>
        </w:tc>
        <w:tc>
          <w:tcPr>
            <w:tcW w:w="1276" w:type="dxa"/>
          </w:tcPr>
          <w:p w:rsidR="00C03804" w:rsidRPr="00C94273" w:rsidRDefault="00C03804" w:rsidP="005B70CC">
            <w:pPr>
              <w:rPr>
                <w:rFonts w:cs="Arial"/>
                <w:sz w:val="20"/>
                <w:szCs w:val="20"/>
              </w:rPr>
            </w:pPr>
            <w:r w:rsidRPr="00C94273">
              <w:rPr>
                <w:rFonts w:cs="Arial"/>
                <w:sz w:val="20"/>
                <w:szCs w:val="20"/>
              </w:rPr>
              <w:t xml:space="preserve">Technical </w:t>
            </w:r>
          </w:p>
        </w:tc>
        <w:tc>
          <w:tcPr>
            <w:tcW w:w="2126" w:type="dxa"/>
          </w:tcPr>
          <w:p w:rsidR="00C03804" w:rsidRPr="00C94273" w:rsidRDefault="00C03804" w:rsidP="005B70CC">
            <w:pPr>
              <w:rPr>
                <w:rFonts w:cs="Arial"/>
                <w:sz w:val="20"/>
                <w:szCs w:val="20"/>
              </w:rPr>
            </w:pPr>
            <w:r w:rsidRPr="00C94273">
              <w:rPr>
                <w:rFonts w:cs="Arial"/>
                <w:sz w:val="20"/>
                <w:szCs w:val="20"/>
              </w:rPr>
              <w:t>Practitioners</w:t>
            </w:r>
          </w:p>
        </w:tc>
        <w:tc>
          <w:tcPr>
            <w:tcW w:w="1276" w:type="dxa"/>
          </w:tcPr>
          <w:p w:rsidR="00C03804" w:rsidRPr="00C94273" w:rsidRDefault="00C03804" w:rsidP="005B70CC">
            <w:pPr>
              <w:rPr>
                <w:rFonts w:cs="Arial"/>
                <w:sz w:val="20"/>
                <w:szCs w:val="20"/>
              </w:rPr>
            </w:pPr>
          </w:p>
        </w:tc>
        <w:tc>
          <w:tcPr>
            <w:tcW w:w="1276" w:type="dxa"/>
          </w:tcPr>
          <w:p w:rsidR="00C03804" w:rsidRPr="00C94273" w:rsidRDefault="00C03804" w:rsidP="005B70CC">
            <w:pPr>
              <w:rPr>
                <w:sz w:val="20"/>
                <w:szCs w:val="20"/>
              </w:rPr>
            </w:pPr>
            <w:r w:rsidRPr="00C94273">
              <w:rPr>
                <w:sz w:val="20"/>
                <w:szCs w:val="20"/>
              </w:rPr>
              <w:t>E</w:t>
            </w:r>
          </w:p>
        </w:tc>
        <w:tc>
          <w:tcPr>
            <w:tcW w:w="5135" w:type="dxa"/>
          </w:tcPr>
          <w:p w:rsidR="00C03804" w:rsidRPr="00C94273" w:rsidRDefault="00C03804" w:rsidP="005B70CC">
            <w:pPr>
              <w:rPr>
                <w:sz w:val="20"/>
                <w:szCs w:val="20"/>
              </w:rPr>
            </w:pPr>
            <w:r w:rsidRPr="00C94273">
              <w:rPr>
                <w:sz w:val="20"/>
                <w:szCs w:val="20"/>
                <w:u w:val="single"/>
              </w:rPr>
              <w:t>Summary</w:t>
            </w:r>
            <w:r w:rsidRPr="00C94273">
              <w:rPr>
                <w:sz w:val="20"/>
                <w:szCs w:val="20"/>
              </w:rPr>
              <w:t xml:space="preserve">: “This report presents a framework for determining the biophysical vulnerability of wetlands to climate </w:t>
            </w:r>
            <w:proofErr w:type="gramStart"/>
            <w:r w:rsidRPr="00C94273">
              <w:rPr>
                <w:sz w:val="20"/>
                <w:szCs w:val="20"/>
              </w:rPr>
              <w:t>change .</w:t>
            </w:r>
            <w:proofErr w:type="gramEnd"/>
            <w:r w:rsidRPr="00C94273">
              <w:rPr>
                <w:sz w:val="20"/>
                <w:szCs w:val="20"/>
              </w:rPr>
              <w:t> . . . [It] include[s], but do[</w:t>
            </w:r>
            <w:proofErr w:type="spellStart"/>
            <w:r w:rsidRPr="00C94273">
              <w:rPr>
                <w:sz w:val="20"/>
                <w:szCs w:val="20"/>
              </w:rPr>
              <w:t>es</w:t>
            </w:r>
            <w:proofErr w:type="spellEnd"/>
            <w:r w:rsidRPr="00C94273">
              <w:rPr>
                <w:sz w:val="20"/>
                <w:szCs w:val="20"/>
              </w:rPr>
              <w:t>] not specifically elaborate on, the associated concept of social vulnerability, which is often used to describe the set of socio-economic factors that determine people’s ability to cope with stress or change. . . . The concepts and specific information required for determining the vulnerability of a wetland to climate change (and other pressures) are presented in a framework that can be used for quantitative and qualitative assessments for which the user needs to determine the extent of specific information required for different biophysical and social situations.”</w:t>
            </w:r>
          </w:p>
        </w:tc>
      </w:tr>
      <w:tr w:rsidR="005B70CC" w:rsidRPr="00C94273" w:rsidTr="005B70CC">
        <w:trPr>
          <w:cantSplit/>
        </w:trPr>
        <w:tc>
          <w:tcPr>
            <w:tcW w:w="0" w:type="auto"/>
            <w:gridSpan w:val="6"/>
            <w:shd w:val="clear" w:color="auto" w:fill="F2F2F2" w:themeFill="background1" w:themeFillShade="F2"/>
          </w:tcPr>
          <w:p w:rsidR="00C03804" w:rsidRPr="00C94273" w:rsidRDefault="00C03804" w:rsidP="005B70CC">
            <w:pPr>
              <w:keepNext/>
              <w:jc w:val="center"/>
              <w:rPr>
                <w:b/>
                <w:sz w:val="20"/>
                <w:szCs w:val="20"/>
              </w:rPr>
            </w:pPr>
            <w:r w:rsidRPr="00C94273">
              <w:rPr>
                <w:b/>
                <w:sz w:val="20"/>
                <w:szCs w:val="20"/>
              </w:rPr>
              <w:lastRenderedPageBreak/>
              <w:t>Other guidance</w:t>
            </w:r>
          </w:p>
        </w:tc>
      </w:tr>
      <w:tr w:rsidR="005B70CC" w:rsidRPr="00C94273" w:rsidTr="0043685F">
        <w:trPr>
          <w:cantSplit/>
        </w:trPr>
        <w:tc>
          <w:tcPr>
            <w:tcW w:w="0" w:type="auto"/>
            <w:gridSpan w:val="6"/>
            <w:shd w:val="clear" w:color="auto" w:fill="FDE9D9" w:themeFill="accent6" w:themeFillTint="33"/>
          </w:tcPr>
          <w:p w:rsidR="004C228B" w:rsidRPr="00C94273" w:rsidRDefault="004C228B" w:rsidP="005B70CC">
            <w:pPr>
              <w:keepNext/>
              <w:rPr>
                <w:b/>
                <w:sz w:val="20"/>
                <w:szCs w:val="20"/>
              </w:rPr>
            </w:pPr>
            <w:r w:rsidRPr="00C94273">
              <w:rPr>
                <w:b/>
                <w:sz w:val="20"/>
                <w:szCs w:val="20"/>
                <w:lang w:val="en-AU"/>
              </w:rPr>
              <w:t>2016-2019 update</w:t>
            </w:r>
          </w:p>
        </w:tc>
      </w:tr>
      <w:tr w:rsidR="005B70CC" w:rsidRPr="00C94273" w:rsidTr="005B70CC">
        <w:trPr>
          <w:cantSplit/>
        </w:trPr>
        <w:tc>
          <w:tcPr>
            <w:tcW w:w="3085" w:type="dxa"/>
          </w:tcPr>
          <w:p w:rsidR="007A715D" w:rsidRPr="00C94273" w:rsidRDefault="001E728F" w:rsidP="005B70CC">
            <w:pPr>
              <w:rPr>
                <w:sz w:val="20"/>
                <w:szCs w:val="20"/>
              </w:rPr>
            </w:pPr>
            <w:hyperlink r:id="rId186" w:history="1">
              <w:r w:rsidR="007A715D" w:rsidRPr="00C94273">
                <w:rPr>
                  <w:rStyle w:val="Hyperlink"/>
                  <w:sz w:val="20"/>
                  <w:szCs w:val="20"/>
                </w:rPr>
                <w:t>Briefing Note: 30 Good Reasons to Safeguard Peatlands!</w:t>
              </w:r>
            </w:hyperlink>
            <w:r w:rsidR="007A715D" w:rsidRPr="00C94273">
              <w:rPr>
                <w:sz w:val="20"/>
                <w:szCs w:val="20"/>
              </w:rPr>
              <w:t xml:space="preserve"> </w:t>
            </w:r>
          </w:p>
        </w:tc>
        <w:tc>
          <w:tcPr>
            <w:tcW w:w="1276" w:type="dxa"/>
          </w:tcPr>
          <w:p w:rsidR="007A715D" w:rsidRPr="00C94273" w:rsidRDefault="007A715D" w:rsidP="005B70CC">
            <w:pPr>
              <w:rPr>
                <w:rFonts w:cs="Arial"/>
                <w:sz w:val="20"/>
                <w:szCs w:val="20"/>
              </w:rPr>
            </w:pPr>
          </w:p>
        </w:tc>
        <w:tc>
          <w:tcPr>
            <w:tcW w:w="2126" w:type="dxa"/>
          </w:tcPr>
          <w:p w:rsidR="007A715D" w:rsidRPr="00C94273" w:rsidRDefault="007A715D" w:rsidP="005B70CC">
            <w:pPr>
              <w:rPr>
                <w:rFonts w:cs="Arial"/>
                <w:sz w:val="20"/>
                <w:szCs w:val="20"/>
              </w:rPr>
            </w:pPr>
          </w:p>
        </w:tc>
        <w:tc>
          <w:tcPr>
            <w:tcW w:w="1276" w:type="dxa"/>
          </w:tcPr>
          <w:p w:rsidR="007A715D" w:rsidRPr="00C94273" w:rsidRDefault="007A715D" w:rsidP="005B70CC">
            <w:pPr>
              <w:rPr>
                <w:rFonts w:cs="Arial"/>
                <w:sz w:val="20"/>
                <w:szCs w:val="20"/>
              </w:rPr>
            </w:pPr>
          </w:p>
        </w:tc>
        <w:tc>
          <w:tcPr>
            <w:tcW w:w="1276" w:type="dxa"/>
          </w:tcPr>
          <w:p w:rsidR="007A715D" w:rsidRPr="00C94273" w:rsidRDefault="007A715D" w:rsidP="005B70CC">
            <w:pPr>
              <w:rPr>
                <w:sz w:val="20"/>
                <w:szCs w:val="20"/>
              </w:rPr>
            </w:pPr>
            <w:r w:rsidRPr="00C94273">
              <w:rPr>
                <w:sz w:val="20"/>
                <w:szCs w:val="20"/>
              </w:rPr>
              <w:t>E</w:t>
            </w:r>
          </w:p>
        </w:tc>
        <w:tc>
          <w:tcPr>
            <w:tcW w:w="5135" w:type="dxa"/>
          </w:tcPr>
          <w:p w:rsidR="007A715D" w:rsidRPr="00C94273" w:rsidRDefault="007A715D" w:rsidP="005B70CC">
            <w:pPr>
              <w:rPr>
                <w:sz w:val="20"/>
                <w:szCs w:val="20"/>
                <w:u w:val="single"/>
              </w:rPr>
            </w:pPr>
            <w:r w:rsidRPr="00C94273">
              <w:rPr>
                <w:sz w:val="20"/>
                <w:szCs w:val="20"/>
                <w:u w:val="single"/>
              </w:rPr>
              <w:t>Federal Agency for Nature Conservation (Germany), Greifswald Mire Centre, Ramsar Convention Secretariat and Ministry of Environment and Food of Denmark</w:t>
            </w:r>
          </w:p>
          <w:p w:rsidR="007A715D" w:rsidRPr="00C94273" w:rsidRDefault="007A715D" w:rsidP="005B70CC">
            <w:pPr>
              <w:rPr>
                <w:sz w:val="20"/>
                <w:szCs w:val="20"/>
              </w:rPr>
            </w:pPr>
            <w:r w:rsidRPr="00C94273">
              <w:rPr>
                <w:sz w:val="20"/>
                <w:szCs w:val="20"/>
                <w:u w:val="single"/>
              </w:rPr>
              <w:t>Summary</w:t>
            </w:r>
            <w:r w:rsidR="00D023F2" w:rsidRPr="00C94273">
              <w:rPr>
                <w:sz w:val="20"/>
                <w:szCs w:val="20"/>
              </w:rPr>
              <w:t xml:space="preserve">: </w:t>
            </w:r>
            <w:r w:rsidR="00A23C16" w:rsidRPr="00C94273">
              <w:rPr>
                <w:sz w:val="20"/>
                <w:szCs w:val="20"/>
              </w:rPr>
              <w:t>The Briefing Note outlines the r</w:t>
            </w:r>
            <w:r w:rsidRPr="00C94273">
              <w:rPr>
                <w:sz w:val="20"/>
                <w:szCs w:val="20"/>
              </w:rPr>
              <w:t xml:space="preserve">esults </w:t>
            </w:r>
            <w:r w:rsidR="00A23C16" w:rsidRPr="00C94273">
              <w:rPr>
                <w:sz w:val="20"/>
                <w:szCs w:val="20"/>
              </w:rPr>
              <w:t xml:space="preserve">from the International Workshop </w:t>
            </w:r>
            <w:r w:rsidRPr="00C94273">
              <w:rPr>
                <w:sz w:val="20"/>
                <w:szCs w:val="20"/>
              </w:rPr>
              <w:t>Peatland Conservation and Wise Use in the Context of Climate Change: A Contribution to the Implementation of the Ramsar Convention</w:t>
            </w:r>
          </w:p>
        </w:tc>
      </w:tr>
      <w:tr w:rsidR="005B70CC" w:rsidRPr="00C94273" w:rsidTr="005B70CC">
        <w:trPr>
          <w:cantSplit/>
        </w:trPr>
        <w:tc>
          <w:tcPr>
            <w:tcW w:w="3085" w:type="dxa"/>
          </w:tcPr>
          <w:p w:rsidR="000811D7" w:rsidRPr="00C94273" w:rsidRDefault="001E728F" w:rsidP="005B70CC">
            <w:pPr>
              <w:rPr>
                <w:sz w:val="20"/>
                <w:szCs w:val="20"/>
              </w:rPr>
            </w:pPr>
            <w:hyperlink r:id="rId187" w:history="1">
              <w:r w:rsidR="000811D7" w:rsidRPr="00C94273">
                <w:rPr>
                  <w:rStyle w:val="Hyperlink"/>
                  <w:sz w:val="20"/>
                  <w:szCs w:val="20"/>
                </w:rPr>
                <w:t>Outlook on climate change adaptation in the Carpathian mountains</w:t>
              </w:r>
            </w:hyperlink>
          </w:p>
        </w:tc>
        <w:tc>
          <w:tcPr>
            <w:tcW w:w="1276" w:type="dxa"/>
          </w:tcPr>
          <w:p w:rsidR="000811D7" w:rsidRPr="00C94273" w:rsidRDefault="000811D7" w:rsidP="005B70CC">
            <w:pPr>
              <w:rPr>
                <w:rFonts w:cs="Arial"/>
                <w:sz w:val="20"/>
                <w:szCs w:val="20"/>
              </w:rPr>
            </w:pPr>
          </w:p>
        </w:tc>
        <w:tc>
          <w:tcPr>
            <w:tcW w:w="2126" w:type="dxa"/>
          </w:tcPr>
          <w:p w:rsidR="000811D7" w:rsidRPr="00C94273" w:rsidRDefault="000811D7" w:rsidP="005B70CC">
            <w:pPr>
              <w:rPr>
                <w:rFonts w:cs="Arial"/>
                <w:sz w:val="20"/>
                <w:szCs w:val="20"/>
              </w:rPr>
            </w:pPr>
          </w:p>
        </w:tc>
        <w:tc>
          <w:tcPr>
            <w:tcW w:w="1276" w:type="dxa"/>
          </w:tcPr>
          <w:p w:rsidR="000811D7" w:rsidRPr="00C94273" w:rsidRDefault="000811D7" w:rsidP="005B70CC">
            <w:pPr>
              <w:rPr>
                <w:rFonts w:cs="Arial"/>
                <w:sz w:val="20"/>
                <w:szCs w:val="20"/>
              </w:rPr>
            </w:pPr>
          </w:p>
        </w:tc>
        <w:tc>
          <w:tcPr>
            <w:tcW w:w="1276" w:type="dxa"/>
          </w:tcPr>
          <w:p w:rsidR="000811D7" w:rsidRPr="00C94273" w:rsidRDefault="000811D7" w:rsidP="005B70CC">
            <w:pPr>
              <w:rPr>
                <w:sz w:val="20"/>
                <w:szCs w:val="20"/>
              </w:rPr>
            </w:pPr>
            <w:r w:rsidRPr="00C94273">
              <w:rPr>
                <w:sz w:val="20"/>
                <w:szCs w:val="20"/>
              </w:rPr>
              <w:t>E</w:t>
            </w:r>
          </w:p>
        </w:tc>
        <w:tc>
          <w:tcPr>
            <w:tcW w:w="5135" w:type="dxa"/>
          </w:tcPr>
          <w:p w:rsidR="000811D7" w:rsidRPr="00C94273" w:rsidRDefault="000811D7" w:rsidP="005B70CC">
            <w:pPr>
              <w:rPr>
                <w:sz w:val="20"/>
                <w:szCs w:val="20"/>
              </w:rPr>
            </w:pPr>
            <w:r w:rsidRPr="00C94273">
              <w:rPr>
                <w:sz w:val="20"/>
                <w:szCs w:val="20"/>
              </w:rPr>
              <w:t xml:space="preserve">UNEP, GRID </w:t>
            </w:r>
            <w:proofErr w:type="spellStart"/>
            <w:r w:rsidRPr="00C94273">
              <w:rPr>
                <w:sz w:val="20"/>
                <w:szCs w:val="20"/>
              </w:rPr>
              <w:t>Arendal</w:t>
            </w:r>
            <w:proofErr w:type="spellEnd"/>
            <w:r w:rsidRPr="00C94273">
              <w:rPr>
                <w:sz w:val="20"/>
                <w:szCs w:val="20"/>
              </w:rPr>
              <w:t xml:space="preserve"> and </w:t>
            </w:r>
            <w:proofErr w:type="spellStart"/>
            <w:r w:rsidRPr="00C94273">
              <w:rPr>
                <w:sz w:val="20"/>
                <w:szCs w:val="20"/>
              </w:rPr>
              <w:t>Eurac</w:t>
            </w:r>
            <w:proofErr w:type="spellEnd"/>
            <w:r w:rsidRPr="00C94273">
              <w:rPr>
                <w:sz w:val="20"/>
                <w:szCs w:val="20"/>
              </w:rPr>
              <w:t xml:space="preserve"> Research</w:t>
            </w:r>
          </w:p>
          <w:p w:rsidR="00D623DF" w:rsidRPr="00C94273" w:rsidRDefault="000811D7" w:rsidP="005B70CC">
            <w:pPr>
              <w:rPr>
                <w:sz w:val="20"/>
                <w:szCs w:val="20"/>
              </w:rPr>
            </w:pPr>
            <w:r w:rsidRPr="00C94273">
              <w:rPr>
                <w:sz w:val="20"/>
                <w:szCs w:val="20"/>
                <w:u w:val="single"/>
              </w:rPr>
              <w:t>Summary:</w:t>
            </w:r>
            <w:r w:rsidRPr="00C94273">
              <w:rPr>
                <w:sz w:val="20"/>
                <w:szCs w:val="20"/>
              </w:rPr>
              <w:t xml:space="preserve"> </w:t>
            </w:r>
            <w:r w:rsidR="00D623DF" w:rsidRPr="00C94273">
              <w:rPr>
                <w:sz w:val="20"/>
                <w:szCs w:val="20"/>
              </w:rPr>
              <w:t>“This outlook is a synthesis and an analysis of</w:t>
            </w:r>
          </w:p>
          <w:p w:rsidR="00D623DF" w:rsidRPr="00C94273" w:rsidRDefault="00D623DF" w:rsidP="005B70CC">
            <w:pPr>
              <w:rPr>
                <w:sz w:val="20"/>
                <w:szCs w:val="20"/>
              </w:rPr>
            </w:pPr>
            <w:r w:rsidRPr="00C94273">
              <w:rPr>
                <w:sz w:val="20"/>
                <w:szCs w:val="20"/>
              </w:rPr>
              <w:t>existing climate change adaptation responses in the</w:t>
            </w:r>
          </w:p>
          <w:p w:rsidR="000811D7" w:rsidRPr="00C94273" w:rsidRDefault="00D623DF" w:rsidP="005B70CC">
            <w:pPr>
              <w:rPr>
                <w:sz w:val="20"/>
                <w:szCs w:val="20"/>
              </w:rPr>
            </w:pPr>
            <w:r w:rsidRPr="00C94273">
              <w:rPr>
                <w:sz w:val="20"/>
                <w:szCs w:val="20"/>
              </w:rPr>
              <w:t>Carpathians and t</w:t>
            </w:r>
            <w:r w:rsidR="005528F8" w:rsidRPr="00C94273">
              <w:rPr>
                <w:sz w:val="20"/>
                <w:szCs w:val="20"/>
              </w:rPr>
              <w:t xml:space="preserve">he extent to which they address </w:t>
            </w:r>
            <w:r w:rsidRPr="00C94273">
              <w:rPr>
                <w:sz w:val="20"/>
                <w:szCs w:val="20"/>
              </w:rPr>
              <w:t>key climate risk”.</w:t>
            </w:r>
          </w:p>
        </w:tc>
      </w:tr>
      <w:tr w:rsidR="005B70CC" w:rsidRPr="00C94273" w:rsidTr="005B70CC">
        <w:trPr>
          <w:cantSplit/>
        </w:trPr>
        <w:tc>
          <w:tcPr>
            <w:tcW w:w="3085" w:type="dxa"/>
          </w:tcPr>
          <w:p w:rsidR="0025414B" w:rsidRPr="00C94273" w:rsidRDefault="00D60AD4" w:rsidP="005B70CC">
            <w:pPr>
              <w:rPr>
                <w:rStyle w:val="Hyperlink"/>
                <w:sz w:val="20"/>
                <w:szCs w:val="20"/>
              </w:rPr>
            </w:pPr>
            <w:r w:rsidRPr="00C94273">
              <w:rPr>
                <w:sz w:val="20"/>
                <w:szCs w:val="20"/>
              </w:rPr>
              <w:fldChar w:fldCharType="begin"/>
            </w:r>
            <w:r w:rsidRPr="00C94273">
              <w:rPr>
                <w:sz w:val="20"/>
                <w:szCs w:val="20"/>
              </w:rPr>
              <w:instrText xml:space="preserve"> HYPERLINK "https://gridarendal-website-live.s3.amazonaws.com/production/documents/:s_document/376/original/RRApeatland_revised_jan.pdf?1515398975" </w:instrText>
            </w:r>
            <w:r w:rsidRPr="00C94273">
              <w:rPr>
                <w:sz w:val="20"/>
                <w:szCs w:val="20"/>
              </w:rPr>
              <w:fldChar w:fldCharType="separate"/>
            </w:r>
            <w:r w:rsidR="0025414B" w:rsidRPr="00C94273">
              <w:rPr>
                <w:rStyle w:val="Hyperlink"/>
                <w:sz w:val="20"/>
                <w:szCs w:val="20"/>
              </w:rPr>
              <w:t>Smoke on Water – Countering</w:t>
            </w:r>
          </w:p>
          <w:p w:rsidR="007A715D" w:rsidRPr="00C94273" w:rsidRDefault="0025414B" w:rsidP="005B70CC">
            <w:pPr>
              <w:rPr>
                <w:sz w:val="20"/>
                <w:szCs w:val="20"/>
              </w:rPr>
            </w:pPr>
            <w:r w:rsidRPr="00C94273">
              <w:rPr>
                <w:rStyle w:val="Hyperlink"/>
                <w:sz w:val="20"/>
                <w:szCs w:val="20"/>
              </w:rPr>
              <w:t>Global Threats From Peatland Loss and Degradation</w:t>
            </w:r>
            <w:r w:rsidR="00FF2AE9" w:rsidRPr="00C94273">
              <w:rPr>
                <w:rStyle w:val="Hyperlink"/>
                <w:sz w:val="20"/>
                <w:szCs w:val="20"/>
              </w:rPr>
              <w:t>: A UNEP Rapid Response Assessment</w:t>
            </w:r>
            <w:r w:rsidR="00D60AD4" w:rsidRPr="00C94273">
              <w:rPr>
                <w:sz w:val="20"/>
                <w:szCs w:val="20"/>
              </w:rPr>
              <w:fldChar w:fldCharType="end"/>
            </w:r>
          </w:p>
        </w:tc>
        <w:tc>
          <w:tcPr>
            <w:tcW w:w="1276" w:type="dxa"/>
          </w:tcPr>
          <w:p w:rsidR="007A715D" w:rsidRPr="00C94273" w:rsidRDefault="007A715D" w:rsidP="005B70CC">
            <w:pPr>
              <w:rPr>
                <w:rFonts w:cs="Arial"/>
                <w:sz w:val="20"/>
                <w:szCs w:val="20"/>
              </w:rPr>
            </w:pPr>
          </w:p>
        </w:tc>
        <w:tc>
          <w:tcPr>
            <w:tcW w:w="2126" w:type="dxa"/>
          </w:tcPr>
          <w:p w:rsidR="007A715D" w:rsidRPr="00C94273" w:rsidRDefault="007A715D" w:rsidP="005B70CC">
            <w:pPr>
              <w:rPr>
                <w:rFonts w:cs="Arial"/>
                <w:sz w:val="20"/>
                <w:szCs w:val="20"/>
              </w:rPr>
            </w:pPr>
          </w:p>
        </w:tc>
        <w:tc>
          <w:tcPr>
            <w:tcW w:w="1276" w:type="dxa"/>
          </w:tcPr>
          <w:p w:rsidR="007A715D" w:rsidRPr="00C94273" w:rsidRDefault="007A715D" w:rsidP="005B70CC">
            <w:pPr>
              <w:rPr>
                <w:rFonts w:cs="Arial"/>
                <w:sz w:val="20"/>
                <w:szCs w:val="20"/>
              </w:rPr>
            </w:pPr>
          </w:p>
        </w:tc>
        <w:tc>
          <w:tcPr>
            <w:tcW w:w="1276" w:type="dxa"/>
          </w:tcPr>
          <w:p w:rsidR="007A715D" w:rsidRPr="00C94273" w:rsidRDefault="00FF2AE9" w:rsidP="005B70CC">
            <w:pPr>
              <w:rPr>
                <w:sz w:val="20"/>
                <w:szCs w:val="20"/>
              </w:rPr>
            </w:pPr>
            <w:r w:rsidRPr="00C94273">
              <w:rPr>
                <w:sz w:val="20"/>
                <w:szCs w:val="20"/>
              </w:rPr>
              <w:t>EF</w:t>
            </w:r>
          </w:p>
        </w:tc>
        <w:tc>
          <w:tcPr>
            <w:tcW w:w="5135" w:type="dxa"/>
          </w:tcPr>
          <w:p w:rsidR="007A715D" w:rsidRPr="00C94273" w:rsidRDefault="00FF2AE9" w:rsidP="005B70CC">
            <w:pPr>
              <w:rPr>
                <w:sz w:val="20"/>
                <w:szCs w:val="20"/>
              </w:rPr>
            </w:pPr>
            <w:r w:rsidRPr="00C94273">
              <w:rPr>
                <w:sz w:val="20"/>
                <w:szCs w:val="20"/>
              </w:rPr>
              <w:t xml:space="preserve">UNEP and GRID </w:t>
            </w:r>
            <w:proofErr w:type="spellStart"/>
            <w:r w:rsidRPr="00C94273">
              <w:rPr>
                <w:sz w:val="20"/>
                <w:szCs w:val="20"/>
              </w:rPr>
              <w:t>Arendal</w:t>
            </w:r>
            <w:proofErr w:type="spellEnd"/>
          </w:p>
          <w:p w:rsidR="000F047C" w:rsidRPr="00C94273" w:rsidRDefault="00D023F2" w:rsidP="005B70CC">
            <w:pPr>
              <w:rPr>
                <w:sz w:val="20"/>
                <w:szCs w:val="20"/>
              </w:rPr>
            </w:pPr>
            <w:r w:rsidRPr="00C94273">
              <w:rPr>
                <w:sz w:val="20"/>
                <w:szCs w:val="20"/>
              </w:rPr>
              <w:t xml:space="preserve">Summary: </w:t>
            </w:r>
            <w:r w:rsidR="00A23C16" w:rsidRPr="00C94273">
              <w:rPr>
                <w:sz w:val="20"/>
                <w:szCs w:val="20"/>
              </w:rPr>
              <w:t>“Smoke on Water is a Rapid Response Assessment that looks at peatland location, extent, threats and the policies to manage and protect them. The goal of this rapid response assessment, carried out on behalf of UN Environment and based on the efforts of more than 30 contributors, is to raise awareness about the importance of the world's peatlands and to encourage immediate action to preserve them”.</w:t>
            </w:r>
          </w:p>
        </w:tc>
      </w:tr>
      <w:tr w:rsidR="005B70CC" w:rsidRPr="00C94273" w:rsidTr="005B70CC">
        <w:trPr>
          <w:cantSplit/>
        </w:trPr>
        <w:tc>
          <w:tcPr>
            <w:tcW w:w="3085" w:type="dxa"/>
          </w:tcPr>
          <w:p w:rsidR="007A715D" w:rsidRPr="00C94273" w:rsidRDefault="001E728F" w:rsidP="005B70CC">
            <w:pPr>
              <w:rPr>
                <w:sz w:val="20"/>
                <w:szCs w:val="20"/>
              </w:rPr>
            </w:pPr>
            <w:hyperlink r:id="rId188" w:history="1">
              <w:r w:rsidR="00B67D7F" w:rsidRPr="00C94273">
                <w:rPr>
                  <w:rStyle w:val="Hyperlink"/>
                  <w:sz w:val="20"/>
                  <w:szCs w:val="20"/>
                </w:rPr>
                <w:t>Global warming of 1.5°C</w:t>
              </w:r>
            </w:hyperlink>
            <w:r w:rsidR="00B67D7F" w:rsidRPr="00C94273">
              <w:rPr>
                <w:sz w:val="20"/>
                <w:szCs w:val="20"/>
              </w:rPr>
              <w:t>.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p>
        </w:tc>
        <w:tc>
          <w:tcPr>
            <w:tcW w:w="1276" w:type="dxa"/>
          </w:tcPr>
          <w:p w:rsidR="007A715D" w:rsidRPr="00C94273" w:rsidRDefault="007A715D" w:rsidP="005B70CC">
            <w:pPr>
              <w:rPr>
                <w:rFonts w:cs="Arial"/>
                <w:sz w:val="20"/>
                <w:szCs w:val="20"/>
              </w:rPr>
            </w:pPr>
          </w:p>
        </w:tc>
        <w:tc>
          <w:tcPr>
            <w:tcW w:w="2126" w:type="dxa"/>
          </w:tcPr>
          <w:p w:rsidR="007A715D" w:rsidRPr="00C94273" w:rsidRDefault="007A715D" w:rsidP="005B70CC">
            <w:pPr>
              <w:rPr>
                <w:rFonts w:cs="Arial"/>
                <w:sz w:val="20"/>
                <w:szCs w:val="20"/>
              </w:rPr>
            </w:pPr>
          </w:p>
        </w:tc>
        <w:tc>
          <w:tcPr>
            <w:tcW w:w="1276" w:type="dxa"/>
          </w:tcPr>
          <w:p w:rsidR="007A715D" w:rsidRPr="00C94273" w:rsidRDefault="007A715D" w:rsidP="005B70CC">
            <w:pPr>
              <w:rPr>
                <w:rFonts w:cs="Arial"/>
                <w:sz w:val="20"/>
                <w:szCs w:val="20"/>
              </w:rPr>
            </w:pPr>
          </w:p>
        </w:tc>
        <w:tc>
          <w:tcPr>
            <w:tcW w:w="1276" w:type="dxa"/>
          </w:tcPr>
          <w:p w:rsidR="007A715D" w:rsidRPr="00C94273" w:rsidRDefault="00297B45" w:rsidP="005B70CC">
            <w:pPr>
              <w:rPr>
                <w:sz w:val="20"/>
                <w:szCs w:val="20"/>
              </w:rPr>
            </w:pPr>
            <w:r w:rsidRPr="00C94273">
              <w:rPr>
                <w:sz w:val="20"/>
                <w:szCs w:val="20"/>
              </w:rPr>
              <w:t>E</w:t>
            </w:r>
          </w:p>
        </w:tc>
        <w:tc>
          <w:tcPr>
            <w:tcW w:w="5135" w:type="dxa"/>
          </w:tcPr>
          <w:p w:rsidR="007A715D" w:rsidRPr="00C94273" w:rsidRDefault="00B67D7F" w:rsidP="005B70CC">
            <w:pPr>
              <w:rPr>
                <w:sz w:val="20"/>
                <w:szCs w:val="20"/>
              </w:rPr>
            </w:pPr>
            <w:r w:rsidRPr="00C94273">
              <w:rPr>
                <w:sz w:val="20"/>
                <w:szCs w:val="20"/>
              </w:rPr>
              <w:t xml:space="preserve">IPCC </w:t>
            </w:r>
          </w:p>
          <w:p w:rsidR="00BB7BBD" w:rsidRPr="00C94273" w:rsidRDefault="00297B45" w:rsidP="005B70CC">
            <w:pPr>
              <w:rPr>
                <w:sz w:val="20"/>
                <w:szCs w:val="20"/>
              </w:rPr>
            </w:pPr>
            <w:r w:rsidRPr="00C94273">
              <w:rPr>
                <w:sz w:val="20"/>
                <w:szCs w:val="20"/>
                <w:u w:val="single"/>
              </w:rPr>
              <w:t>Summary</w:t>
            </w:r>
            <w:r w:rsidRPr="00C94273">
              <w:rPr>
                <w:sz w:val="20"/>
                <w:szCs w:val="20"/>
              </w:rPr>
              <w:t xml:space="preserve">: </w:t>
            </w:r>
            <w:r w:rsidR="00BB7BBD" w:rsidRPr="00C94273">
              <w:rPr>
                <w:sz w:val="20"/>
                <w:szCs w:val="20"/>
              </w:rPr>
              <w:t>"</w:t>
            </w:r>
            <w:r w:rsidR="00BB7BBD" w:rsidRPr="00C94273">
              <w:t xml:space="preserve"> </w:t>
            </w:r>
            <w:r w:rsidR="00BB7BBD" w:rsidRPr="00C94273">
              <w:rPr>
                <w:sz w:val="20"/>
                <w:szCs w:val="20"/>
              </w:rPr>
              <w:t>This Report responds to the invitation for IPCC ‘… to provide a Special Report in 2018 on the impacts of global warming of 1.5°C above pre-industrial levels and related global greenhouse gas emission pathways’ contained in the Decision of the 21st Conference of Parties of the United Nations Framework Convention on Climate Change to adopt the Paris Agreement”.</w:t>
            </w:r>
          </w:p>
        </w:tc>
      </w:tr>
      <w:tr w:rsidR="005B70CC" w:rsidRPr="00C94273" w:rsidTr="005B70CC">
        <w:trPr>
          <w:cantSplit/>
        </w:trPr>
        <w:tc>
          <w:tcPr>
            <w:tcW w:w="3085" w:type="dxa"/>
          </w:tcPr>
          <w:p w:rsidR="000B2E57" w:rsidRPr="00C94273" w:rsidRDefault="001E728F" w:rsidP="005B70CC">
            <w:pPr>
              <w:rPr>
                <w:sz w:val="20"/>
                <w:szCs w:val="20"/>
              </w:rPr>
            </w:pPr>
            <w:hyperlink r:id="rId189" w:history="1">
              <w:r w:rsidR="000B2E57" w:rsidRPr="00C94273">
                <w:rPr>
                  <w:rStyle w:val="Hyperlink"/>
                  <w:sz w:val="20"/>
                  <w:szCs w:val="20"/>
                </w:rPr>
                <w:t>Adapting to Climate Change - Guidance for Protected Areas Managers and Planners</w:t>
              </w:r>
            </w:hyperlink>
          </w:p>
        </w:tc>
        <w:tc>
          <w:tcPr>
            <w:tcW w:w="1276" w:type="dxa"/>
          </w:tcPr>
          <w:p w:rsidR="000B2E57" w:rsidRPr="00C94273" w:rsidRDefault="000B2E57" w:rsidP="005B70CC">
            <w:pPr>
              <w:rPr>
                <w:rFonts w:cs="Arial"/>
                <w:sz w:val="20"/>
                <w:szCs w:val="20"/>
              </w:rPr>
            </w:pPr>
          </w:p>
        </w:tc>
        <w:tc>
          <w:tcPr>
            <w:tcW w:w="2126" w:type="dxa"/>
          </w:tcPr>
          <w:p w:rsidR="000B2E57" w:rsidRPr="00C94273" w:rsidRDefault="000B2E57" w:rsidP="005B70CC">
            <w:pPr>
              <w:rPr>
                <w:rFonts w:cs="Arial"/>
                <w:sz w:val="20"/>
                <w:szCs w:val="20"/>
              </w:rPr>
            </w:pPr>
          </w:p>
        </w:tc>
        <w:tc>
          <w:tcPr>
            <w:tcW w:w="1276" w:type="dxa"/>
          </w:tcPr>
          <w:p w:rsidR="000B2E57" w:rsidRPr="00C94273" w:rsidRDefault="000B2E57" w:rsidP="005B70CC">
            <w:pPr>
              <w:rPr>
                <w:rFonts w:cs="Arial"/>
                <w:sz w:val="20"/>
                <w:szCs w:val="20"/>
              </w:rPr>
            </w:pPr>
          </w:p>
        </w:tc>
        <w:tc>
          <w:tcPr>
            <w:tcW w:w="1276" w:type="dxa"/>
          </w:tcPr>
          <w:p w:rsidR="000B2E57" w:rsidRPr="00C94273" w:rsidRDefault="000B2E57" w:rsidP="005B70CC">
            <w:pPr>
              <w:rPr>
                <w:sz w:val="20"/>
                <w:szCs w:val="20"/>
              </w:rPr>
            </w:pPr>
            <w:r w:rsidRPr="00C94273">
              <w:rPr>
                <w:sz w:val="20"/>
                <w:szCs w:val="20"/>
              </w:rPr>
              <w:t>E</w:t>
            </w:r>
          </w:p>
        </w:tc>
        <w:tc>
          <w:tcPr>
            <w:tcW w:w="5135" w:type="dxa"/>
          </w:tcPr>
          <w:p w:rsidR="000B2E57" w:rsidRPr="00C94273" w:rsidRDefault="000B2E57" w:rsidP="005B70CC">
            <w:pPr>
              <w:rPr>
                <w:rFonts w:cs="Arial"/>
                <w:sz w:val="20"/>
                <w:szCs w:val="20"/>
              </w:rPr>
            </w:pPr>
            <w:r w:rsidRPr="00C94273">
              <w:rPr>
                <w:rFonts w:cs="Arial"/>
                <w:sz w:val="20"/>
                <w:szCs w:val="20"/>
              </w:rPr>
              <w:t>IUCN</w:t>
            </w:r>
          </w:p>
          <w:p w:rsidR="000B2E57" w:rsidRPr="00C94273" w:rsidRDefault="000B2E57" w:rsidP="005B70CC">
            <w:pPr>
              <w:rPr>
                <w:rFonts w:cs="Arial"/>
                <w:sz w:val="20"/>
                <w:szCs w:val="20"/>
              </w:rPr>
            </w:pPr>
            <w:r w:rsidRPr="00C94273">
              <w:rPr>
                <w:rFonts w:cs="Arial"/>
                <w:sz w:val="20"/>
                <w:szCs w:val="20"/>
                <w:u w:val="single"/>
              </w:rPr>
              <w:t>Summary</w:t>
            </w:r>
            <w:proofErr w:type="gramStart"/>
            <w:r w:rsidRPr="00C94273">
              <w:rPr>
                <w:rFonts w:cs="Arial"/>
                <w:sz w:val="20"/>
                <w:szCs w:val="20"/>
              </w:rPr>
              <w:t>: ”</w:t>
            </w:r>
            <w:proofErr w:type="gramEnd"/>
            <w:r w:rsidRPr="00C94273">
              <w:t xml:space="preserve"> </w:t>
            </w:r>
            <w:r w:rsidRPr="00C94273">
              <w:rPr>
                <w:rFonts w:cs="Arial"/>
                <w:sz w:val="20"/>
                <w:szCs w:val="20"/>
              </w:rPr>
              <w:t>These guidelines articulate essential elements for adaptation planning and implementation, and it describes additional resources that site managers can use right away”.</w:t>
            </w:r>
          </w:p>
        </w:tc>
      </w:tr>
      <w:tr w:rsidR="005B70CC" w:rsidRPr="00C94273" w:rsidTr="005B70CC">
        <w:trPr>
          <w:cantSplit/>
        </w:trPr>
        <w:tc>
          <w:tcPr>
            <w:tcW w:w="3085" w:type="dxa"/>
          </w:tcPr>
          <w:p w:rsidR="008534B6" w:rsidRPr="00C94273" w:rsidRDefault="001E728F" w:rsidP="005B70CC">
            <w:pPr>
              <w:rPr>
                <w:sz w:val="20"/>
                <w:szCs w:val="20"/>
              </w:rPr>
            </w:pPr>
            <w:hyperlink r:id="rId190" w:history="1">
              <w:r w:rsidR="00385CCE" w:rsidRPr="00C94273">
                <w:rPr>
                  <w:rStyle w:val="Hyperlink"/>
                  <w:sz w:val="20"/>
                  <w:szCs w:val="20"/>
                </w:rPr>
                <w:t>Ecosystem-based Adaptation Handbook</w:t>
              </w:r>
            </w:hyperlink>
          </w:p>
        </w:tc>
        <w:tc>
          <w:tcPr>
            <w:tcW w:w="1276" w:type="dxa"/>
          </w:tcPr>
          <w:p w:rsidR="008534B6" w:rsidRPr="00C94273" w:rsidRDefault="008534B6" w:rsidP="005B70CC">
            <w:pPr>
              <w:rPr>
                <w:rFonts w:cs="Arial"/>
                <w:sz w:val="20"/>
                <w:szCs w:val="20"/>
              </w:rPr>
            </w:pPr>
          </w:p>
        </w:tc>
        <w:tc>
          <w:tcPr>
            <w:tcW w:w="2126" w:type="dxa"/>
          </w:tcPr>
          <w:p w:rsidR="008534B6" w:rsidRPr="00C94273" w:rsidRDefault="008534B6" w:rsidP="005B70CC">
            <w:pPr>
              <w:rPr>
                <w:rFonts w:cs="Arial"/>
                <w:sz w:val="20"/>
                <w:szCs w:val="20"/>
              </w:rPr>
            </w:pPr>
          </w:p>
        </w:tc>
        <w:tc>
          <w:tcPr>
            <w:tcW w:w="1276" w:type="dxa"/>
          </w:tcPr>
          <w:p w:rsidR="008534B6" w:rsidRPr="00C94273" w:rsidRDefault="008534B6" w:rsidP="005B70CC">
            <w:pPr>
              <w:rPr>
                <w:rFonts w:cs="Arial"/>
                <w:sz w:val="20"/>
                <w:szCs w:val="20"/>
              </w:rPr>
            </w:pPr>
          </w:p>
        </w:tc>
        <w:tc>
          <w:tcPr>
            <w:tcW w:w="1276" w:type="dxa"/>
          </w:tcPr>
          <w:p w:rsidR="008534B6" w:rsidRPr="00C94273" w:rsidRDefault="008534B6" w:rsidP="005B70CC">
            <w:pPr>
              <w:rPr>
                <w:sz w:val="20"/>
                <w:szCs w:val="20"/>
              </w:rPr>
            </w:pPr>
            <w:r w:rsidRPr="00C94273">
              <w:rPr>
                <w:sz w:val="20"/>
                <w:szCs w:val="20"/>
              </w:rPr>
              <w:t>E</w:t>
            </w:r>
          </w:p>
        </w:tc>
        <w:tc>
          <w:tcPr>
            <w:tcW w:w="5135" w:type="dxa"/>
          </w:tcPr>
          <w:p w:rsidR="008534B6" w:rsidRPr="00C94273" w:rsidRDefault="008534B6" w:rsidP="005B70CC">
            <w:pPr>
              <w:rPr>
                <w:rFonts w:cs="Arial"/>
                <w:sz w:val="20"/>
                <w:szCs w:val="20"/>
              </w:rPr>
            </w:pPr>
            <w:r w:rsidRPr="00C94273">
              <w:rPr>
                <w:rFonts w:cs="Arial"/>
                <w:sz w:val="20"/>
                <w:szCs w:val="20"/>
              </w:rPr>
              <w:t>IUCN</w:t>
            </w:r>
          </w:p>
          <w:p w:rsidR="008534B6" w:rsidRPr="00C94273" w:rsidRDefault="008534B6" w:rsidP="005B70CC">
            <w:pPr>
              <w:rPr>
                <w:rFonts w:cs="Arial"/>
                <w:sz w:val="20"/>
                <w:szCs w:val="20"/>
              </w:rPr>
            </w:pPr>
            <w:r w:rsidRPr="00C94273">
              <w:rPr>
                <w:rFonts w:cs="Arial"/>
                <w:sz w:val="20"/>
                <w:szCs w:val="20"/>
                <w:u w:val="single"/>
              </w:rPr>
              <w:t>Summary</w:t>
            </w:r>
            <w:r w:rsidRPr="00C94273">
              <w:rPr>
                <w:rFonts w:cs="Arial"/>
                <w:sz w:val="20"/>
                <w:szCs w:val="20"/>
              </w:rPr>
              <w:t xml:space="preserve">: “This handbook is meant as a step-by-step guide for setting up an </w:t>
            </w:r>
            <w:proofErr w:type="spellStart"/>
            <w:r w:rsidRPr="00C94273">
              <w:rPr>
                <w:rFonts w:cs="Arial"/>
                <w:sz w:val="20"/>
                <w:szCs w:val="20"/>
              </w:rPr>
              <w:t>EbA</w:t>
            </w:r>
            <w:proofErr w:type="spellEnd"/>
            <w:r w:rsidRPr="00C94273">
              <w:rPr>
                <w:rFonts w:cs="Arial"/>
                <w:sz w:val="20"/>
                <w:szCs w:val="20"/>
              </w:rPr>
              <w:t xml:space="preserve"> intervention. It promotes an integrated approach to </w:t>
            </w:r>
            <w:proofErr w:type="spellStart"/>
            <w:r w:rsidRPr="00C94273">
              <w:rPr>
                <w:rFonts w:cs="Arial"/>
                <w:sz w:val="20"/>
                <w:szCs w:val="20"/>
              </w:rPr>
              <w:t>EbA</w:t>
            </w:r>
            <w:proofErr w:type="spellEnd"/>
            <w:r w:rsidRPr="00C94273">
              <w:rPr>
                <w:rFonts w:cs="Arial"/>
                <w:sz w:val="20"/>
                <w:szCs w:val="20"/>
              </w:rPr>
              <w:t xml:space="preserve"> with the ultimate goal of “building resilience of socio-ecological systems”3. Additionally, the handbook introduces the reader to the building blocks of an </w:t>
            </w:r>
            <w:proofErr w:type="spellStart"/>
            <w:r w:rsidRPr="00C94273">
              <w:rPr>
                <w:rFonts w:cs="Arial"/>
                <w:sz w:val="20"/>
                <w:szCs w:val="20"/>
              </w:rPr>
              <w:t>EbA</w:t>
            </w:r>
            <w:proofErr w:type="spellEnd"/>
            <w:r w:rsidRPr="00C94273">
              <w:rPr>
                <w:rFonts w:cs="Arial"/>
                <w:sz w:val="20"/>
                <w:szCs w:val="20"/>
              </w:rPr>
              <w:t xml:space="preserve"> strategy and how these can be developed”.</w:t>
            </w:r>
          </w:p>
        </w:tc>
      </w:tr>
      <w:tr w:rsidR="005B70CC" w:rsidRPr="00C94273" w:rsidTr="005B70CC">
        <w:trPr>
          <w:cantSplit/>
        </w:trPr>
        <w:tc>
          <w:tcPr>
            <w:tcW w:w="3085" w:type="dxa"/>
          </w:tcPr>
          <w:p w:rsidR="005528F8" w:rsidRPr="00C94273" w:rsidRDefault="001E728F" w:rsidP="005B70CC">
            <w:hyperlink r:id="rId191" w:history="1">
              <w:r w:rsidR="005528F8" w:rsidRPr="00C94273">
                <w:rPr>
                  <w:rStyle w:val="Hyperlink"/>
                  <w:sz w:val="20"/>
                  <w:szCs w:val="20"/>
                </w:rPr>
                <w:t>Ecosystems protecting infrastructure and communities - Lessons learned and guidelines for implementation</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sz w:val="20"/>
                <w:szCs w:val="20"/>
              </w:rPr>
            </w:pPr>
            <w:r w:rsidRPr="00C94273">
              <w:rPr>
                <w:sz w:val="20"/>
                <w:szCs w:val="20"/>
              </w:rPr>
              <w:t>E</w:t>
            </w:r>
          </w:p>
        </w:tc>
        <w:tc>
          <w:tcPr>
            <w:tcW w:w="5135" w:type="dxa"/>
          </w:tcPr>
          <w:p w:rsidR="005528F8" w:rsidRPr="00C94273" w:rsidRDefault="005528F8" w:rsidP="005B70CC">
            <w:pPr>
              <w:rPr>
                <w:rFonts w:cs="Arial"/>
                <w:sz w:val="20"/>
                <w:szCs w:val="20"/>
              </w:rPr>
            </w:pPr>
            <w:r w:rsidRPr="00C94273">
              <w:rPr>
                <w:rFonts w:cs="Arial"/>
                <w:sz w:val="20"/>
                <w:szCs w:val="20"/>
              </w:rPr>
              <w:t>IUCN</w:t>
            </w:r>
          </w:p>
          <w:p w:rsidR="005528F8" w:rsidRPr="00C94273" w:rsidRDefault="005528F8" w:rsidP="005B70CC">
            <w:pPr>
              <w:rPr>
                <w:rFonts w:cs="Arial"/>
                <w:sz w:val="20"/>
                <w:szCs w:val="20"/>
              </w:rPr>
            </w:pPr>
            <w:r w:rsidRPr="00C94273">
              <w:rPr>
                <w:rFonts w:cs="Arial"/>
                <w:sz w:val="20"/>
                <w:szCs w:val="20"/>
                <w:u w:val="single"/>
              </w:rPr>
              <w:t>Summary</w:t>
            </w:r>
            <w:r w:rsidRPr="00C94273">
              <w:rPr>
                <w:rFonts w:cs="Arial"/>
                <w:sz w:val="20"/>
                <w:szCs w:val="20"/>
              </w:rPr>
              <w:t>: “This publication presents details on Ecosystems</w:t>
            </w:r>
          </w:p>
          <w:p w:rsidR="005528F8" w:rsidRPr="00C94273" w:rsidRDefault="005528F8" w:rsidP="005B70CC">
            <w:pPr>
              <w:rPr>
                <w:sz w:val="20"/>
                <w:szCs w:val="20"/>
              </w:rPr>
            </w:pPr>
            <w:r w:rsidRPr="00C94273">
              <w:rPr>
                <w:rFonts w:cs="Arial"/>
                <w:sz w:val="20"/>
                <w:szCs w:val="20"/>
              </w:rPr>
              <w:t>Protecting Infrastructure and Communities (EPIC), a pioneer global initiative which promoted the implementation of ecosystem based approaches for disaster risk reduction and climate change adaptation through five case studies in six countries”</w:t>
            </w:r>
          </w:p>
        </w:tc>
      </w:tr>
      <w:tr w:rsidR="005B70CC" w:rsidRPr="00C94273" w:rsidTr="005B70CC">
        <w:trPr>
          <w:cantSplit/>
        </w:trPr>
        <w:tc>
          <w:tcPr>
            <w:tcW w:w="3085" w:type="dxa"/>
          </w:tcPr>
          <w:p w:rsidR="00863747" w:rsidRPr="00C94273" w:rsidRDefault="001E728F" w:rsidP="005B70CC">
            <w:pPr>
              <w:rPr>
                <w:sz w:val="20"/>
                <w:szCs w:val="20"/>
              </w:rPr>
            </w:pPr>
            <w:hyperlink r:id="rId192" w:history="1">
              <w:r w:rsidR="00863747" w:rsidRPr="00C94273">
                <w:rPr>
                  <w:rStyle w:val="Hyperlink"/>
                  <w:sz w:val="20"/>
                  <w:szCs w:val="20"/>
                </w:rPr>
                <w:t>Marine protected areas and climate change - Adaptation and mitigation synergies, opportunities and challenges</w:t>
              </w:r>
            </w:hyperlink>
          </w:p>
        </w:tc>
        <w:tc>
          <w:tcPr>
            <w:tcW w:w="1276" w:type="dxa"/>
          </w:tcPr>
          <w:p w:rsidR="00863747" w:rsidRPr="00C94273" w:rsidRDefault="00863747" w:rsidP="005B70CC">
            <w:pPr>
              <w:rPr>
                <w:rFonts w:cs="Arial"/>
                <w:sz w:val="20"/>
                <w:szCs w:val="20"/>
              </w:rPr>
            </w:pPr>
          </w:p>
        </w:tc>
        <w:tc>
          <w:tcPr>
            <w:tcW w:w="2126" w:type="dxa"/>
          </w:tcPr>
          <w:p w:rsidR="00863747" w:rsidRPr="00C94273" w:rsidRDefault="00863747" w:rsidP="005B70CC">
            <w:pPr>
              <w:rPr>
                <w:rFonts w:cs="Arial"/>
                <w:sz w:val="20"/>
                <w:szCs w:val="20"/>
              </w:rPr>
            </w:pPr>
          </w:p>
        </w:tc>
        <w:tc>
          <w:tcPr>
            <w:tcW w:w="1276" w:type="dxa"/>
          </w:tcPr>
          <w:p w:rsidR="00863747" w:rsidRPr="00C94273" w:rsidRDefault="00863747" w:rsidP="005B70CC">
            <w:pPr>
              <w:rPr>
                <w:rFonts w:cs="Arial"/>
                <w:sz w:val="20"/>
                <w:szCs w:val="20"/>
              </w:rPr>
            </w:pPr>
          </w:p>
        </w:tc>
        <w:tc>
          <w:tcPr>
            <w:tcW w:w="1276" w:type="dxa"/>
          </w:tcPr>
          <w:p w:rsidR="00863747" w:rsidRPr="00C94273" w:rsidRDefault="00863747" w:rsidP="005B70CC">
            <w:pPr>
              <w:rPr>
                <w:sz w:val="20"/>
                <w:szCs w:val="20"/>
              </w:rPr>
            </w:pPr>
          </w:p>
        </w:tc>
        <w:tc>
          <w:tcPr>
            <w:tcW w:w="5135" w:type="dxa"/>
          </w:tcPr>
          <w:p w:rsidR="00863747" w:rsidRPr="00C94273" w:rsidRDefault="00863747" w:rsidP="005B70CC">
            <w:pPr>
              <w:rPr>
                <w:rFonts w:cs="Arial"/>
                <w:sz w:val="20"/>
                <w:szCs w:val="20"/>
              </w:rPr>
            </w:pPr>
            <w:r w:rsidRPr="00C94273">
              <w:rPr>
                <w:rFonts w:cs="Arial"/>
                <w:sz w:val="20"/>
                <w:szCs w:val="20"/>
              </w:rPr>
              <w:t>IUCN</w:t>
            </w:r>
          </w:p>
          <w:p w:rsidR="00863747" w:rsidRPr="00C94273" w:rsidRDefault="00863747" w:rsidP="005B70CC">
            <w:pPr>
              <w:rPr>
                <w:rFonts w:cs="Arial"/>
                <w:sz w:val="20"/>
                <w:szCs w:val="20"/>
              </w:rPr>
            </w:pPr>
            <w:r w:rsidRPr="00C94273">
              <w:rPr>
                <w:rFonts w:cs="Arial"/>
                <w:sz w:val="20"/>
                <w:szCs w:val="20"/>
                <w:u w:val="single"/>
              </w:rPr>
              <w:t>Summary</w:t>
            </w:r>
            <w:r w:rsidRPr="00C94273">
              <w:rPr>
                <w:rFonts w:cs="Arial"/>
                <w:sz w:val="20"/>
                <w:szCs w:val="20"/>
              </w:rPr>
              <w:t xml:space="preserve">: “The purpose of the report is to provide information to underpin the outcomes of COP21 and in particular to demonstrate the importance of the role of MPAs in climate change adaptation and mitigation. Such </w:t>
            </w:r>
            <w:proofErr w:type="gramStart"/>
            <w:r w:rsidRPr="00C94273">
              <w:rPr>
                <w:rFonts w:cs="Arial"/>
                <w:sz w:val="20"/>
                <w:szCs w:val="20"/>
              </w:rPr>
              <w:t>a recognition</w:t>
            </w:r>
            <w:proofErr w:type="gramEnd"/>
            <w:r w:rsidRPr="00C94273">
              <w:rPr>
                <w:rFonts w:cs="Arial"/>
                <w:sz w:val="20"/>
                <w:szCs w:val="20"/>
              </w:rPr>
              <w:t xml:space="preserve"> of the role of MPAs is also an important step towards increasing the effectiveness of MPAs under the CBD 2020 agenda”.</w:t>
            </w:r>
          </w:p>
        </w:tc>
      </w:tr>
      <w:tr w:rsidR="005B70CC" w:rsidRPr="00C94273" w:rsidTr="0043685F">
        <w:trPr>
          <w:cantSplit/>
        </w:trPr>
        <w:tc>
          <w:tcPr>
            <w:tcW w:w="0" w:type="auto"/>
            <w:gridSpan w:val="6"/>
            <w:shd w:val="clear" w:color="auto" w:fill="FDE9D9" w:themeFill="accent6" w:themeFillTint="33"/>
          </w:tcPr>
          <w:p w:rsidR="00C543C3" w:rsidRPr="00C94273" w:rsidRDefault="00C543C3" w:rsidP="005B70CC">
            <w:pPr>
              <w:keepNext/>
              <w:rPr>
                <w:b/>
                <w:sz w:val="20"/>
                <w:szCs w:val="20"/>
              </w:rPr>
            </w:pPr>
            <w:r w:rsidRPr="00C94273">
              <w:rPr>
                <w:b/>
                <w:sz w:val="20"/>
                <w:szCs w:val="20"/>
              </w:rPr>
              <w:lastRenderedPageBreak/>
              <w:t>Up to 2015</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193" w:history="1">
              <w:r w:rsidR="00385CCE" w:rsidRPr="00C94273">
                <w:rPr>
                  <w:rStyle w:val="Hyperlink"/>
                  <w:sz w:val="20"/>
                  <w:szCs w:val="20"/>
                </w:rPr>
                <w:t>Keep it fresh or salty: An introductory guide to financing wetland carbon programs and projects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sz w:val="20"/>
                <w:szCs w:val="20"/>
              </w:rPr>
              <w:t>E</w:t>
            </w:r>
          </w:p>
        </w:tc>
        <w:tc>
          <w:tcPr>
            <w:tcW w:w="5135" w:type="dxa"/>
          </w:tcPr>
          <w:p w:rsidR="005528F8" w:rsidRPr="00C94273" w:rsidRDefault="005528F8" w:rsidP="005B70CC">
            <w:pPr>
              <w:rPr>
                <w:sz w:val="20"/>
                <w:szCs w:val="20"/>
              </w:rPr>
            </w:pPr>
            <w:r w:rsidRPr="00C94273">
              <w:rPr>
                <w:sz w:val="20"/>
                <w:szCs w:val="20"/>
              </w:rPr>
              <w:t>IUCN, Wetlands International (and Conservation International)</w:t>
            </w:r>
          </w:p>
          <w:p w:rsidR="005528F8" w:rsidRPr="00C94273" w:rsidRDefault="005528F8" w:rsidP="005B70CC">
            <w:pPr>
              <w:rPr>
                <w:sz w:val="20"/>
                <w:szCs w:val="20"/>
              </w:rPr>
            </w:pPr>
            <w:r w:rsidRPr="00C94273">
              <w:rPr>
                <w:sz w:val="20"/>
                <w:szCs w:val="20"/>
                <w:u w:val="single"/>
              </w:rPr>
              <w:t>Summary</w:t>
            </w:r>
            <w:r w:rsidRPr="00C94273">
              <w:rPr>
                <w:sz w:val="20"/>
                <w:szCs w:val="20"/>
              </w:rPr>
              <w:t>: “This report provides guidance for program and project developers from, or working in, developing countries on the numerous funds and finance mechanisms that can provide carbon finance for wetland carbon conservation and restoration. It also highlights ways to access and link carbon activities with non-carbon based sources of financing.”</w:t>
            </w:r>
          </w:p>
        </w:tc>
      </w:tr>
      <w:tr w:rsidR="005B70CC" w:rsidRPr="00C94273" w:rsidTr="005B70CC">
        <w:trPr>
          <w:cantSplit/>
        </w:trPr>
        <w:tc>
          <w:tcPr>
            <w:tcW w:w="3085" w:type="dxa"/>
          </w:tcPr>
          <w:p w:rsidR="005528F8" w:rsidRPr="00C94273" w:rsidRDefault="001E728F" w:rsidP="005B70CC">
            <w:pPr>
              <w:rPr>
                <w:sz w:val="20"/>
                <w:szCs w:val="20"/>
              </w:rPr>
            </w:pPr>
            <w:hyperlink r:id="rId194" w:history="1">
              <w:r w:rsidR="005528F8" w:rsidRPr="00C94273">
                <w:rPr>
                  <w:rStyle w:val="Hyperlink"/>
                  <w:sz w:val="20"/>
                  <w:szCs w:val="20"/>
                </w:rPr>
                <w:t>UK peatland restoration : demonstrating success</w:t>
              </w:r>
            </w:hyperlink>
            <w:r w:rsidR="005528F8" w:rsidRPr="00C94273">
              <w:rPr>
                <w:sz w:val="20"/>
                <w:szCs w:val="20"/>
              </w:rPr>
              <w:t xml:space="preserve"> + </w:t>
            </w:r>
            <w:hyperlink r:id="rId195" w:history="1">
              <w:r w:rsidR="005528F8" w:rsidRPr="00C94273">
                <w:rPr>
                  <w:rStyle w:val="Hyperlink"/>
                  <w:sz w:val="20"/>
                  <w:szCs w:val="20"/>
                </w:rPr>
                <w:t>Commission of Inquiry on Peatlands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sz w:val="20"/>
                <w:szCs w:val="20"/>
              </w:rPr>
            </w:pPr>
            <w:r w:rsidRPr="00C94273">
              <w:rPr>
                <w:sz w:val="20"/>
                <w:szCs w:val="20"/>
              </w:rPr>
              <w:t>E</w:t>
            </w:r>
          </w:p>
        </w:tc>
        <w:tc>
          <w:tcPr>
            <w:tcW w:w="5135" w:type="dxa"/>
          </w:tcPr>
          <w:p w:rsidR="005528F8" w:rsidRPr="00C94273" w:rsidRDefault="005528F8" w:rsidP="005B70CC">
            <w:pPr>
              <w:rPr>
                <w:sz w:val="20"/>
                <w:szCs w:val="20"/>
              </w:rPr>
            </w:pPr>
            <w:r w:rsidRPr="00C94273">
              <w:rPr>
                <w:sz w:val="20"/>
                <w:szCs w:val="20"/>
              </w:rPr>
              <w:t>IUCN</w:t>
            </w:r>
          </w:p>
        </w:tc>
      </w:tr>
      <w:tr w:rsidR="005B70CC" w:rsidRPr="00C94273" w:rsidTr="005B70CC">
        <w:trPr>
          <w:cantSplit/>
        </w:trPr>
        <w:tc>
          <w:tcPr>
            <w:tcW w:w="3085" w:type="dxa"/>
          </w:tcPr>
          <w:p w:rsidR="005528F8" w:rsidRPr="00C94273" w:rsidRDefault="001E728F" w:rsidP="005B70CC">
            <w:pPr>
              <w:rPr>
                <w:sz w:val="20"/>
                <w:szCs w:val="20"/>
              </w:rPr>
            </w:pPr>
            <w:hyperlink r:id="rId196" w:history="1">
              <w:r w:rsidR="005528F8" w:rsidRPr="00C94273">
                <w:rPr>
                  <w:rStyle w:val="Hyperlink"/>
                  <w:sz w:val="20"/>
                  <w:szCs w:val="20"/>
                </w:rPr>
                <w:t xml:space="preserve">Climate change vulnerability assessment for </w:t>
              </w:r>
              <w:proofErr w:type="spellStart"/>
              <w:r w:rsidR="005528F8" w:rsidRPr="00C94273">
                <w:rPr>
                  <w:rStyle w:val="Hyperlink"/>
                  <w:sz w:val="20"/>
                  <w:szCs w:val="20"/>
                </w:rPr>
                <w:t>Beung</w:t>
              </w:r>
              <w:proofErr w:type="spellEnd"/>
              <w:r w:rsidR="005528F8" w:rsidRPr="00C94273">
                <w:rPr>
                  <w:rStyle w:val="Hyperlink"/>
                  <w:sz w:val="20"/>
                  <w:szCs w:val="20"/>
                </w:rPr>
                <w:t xml:space="preserve"> </w:t>
              </w:r>
              <w:proofErr w:type="spellStart"/>
              <w:r w:rsidR="005528F8" w:rsidRPr="00C94273">
                <w:rPr>
                  <w:rStyle w:val="Hyperlink"/>
                  <w:sz w:val="20"/>
                  <w:szCs w:val="20"/>
                </w:rPr>
                <w:t>Kiat</w:t>
              </w:r>
              <w:proofErr w:type="spellEnd"/>
              <w:r w:rsidR="005528F8" w:rsidRPr="00C94273">
                <w:rPr>
                  <w:rStyle w:val="Hyperlink"/>
                  <w:sz w:val="20"/>
                  <w:szCs w:val="20"/>
                </w:rPr>
                <w:t xml:space="preserve"> </w:t>
              </w:r>
              <w:proofErr w:type="spellStart"/>
              <w:r w:rsidR="005528F8" w:rsidRPr="00C94273">
                <w:rPr>
                  <w:rStyle w:val="Hyperlink"/>
                  <w:sz w:val="20"/>
                  <w:szCs w:val="20"/>
                </w:rPr>
                <w:t>Ngong</w:t>
              </w:r>
              <w:proofErr w:type="spellEnd"/>
              <w:r w:rsidR="005528F8" w:rsidRPr="00C94273">
                <w:rPr>
                  <w:rStyle w:val="Hyperlink"/>
                  <w:sz w:val="20"/>
                  <w:szCs w:val="20"/>
                </w:rPr>
                <w:t xml:space="preserve"> Ramsar Site, Lao PDR</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sz w:val="20"/>
                <w:szCs w:val="20"/>
              </w:rPr>
            </w:pPr>
            <w:r w:rsidRPr="00C94273">
              <w:rPr>
                <w:sz w:val="20"/>
                <w:szCs w:val="20"/>
              </w:rPr>
              <w:t>E</w:t>
            </w:r>
          </w:p>
        </w:tc>
        <w:tc>
          <w:tcPr>
            <w:tcW w:w="5135" w:type="dxa"/>
          </w:tcPr>
          <w:p w:rsidR="005528F8" w:rsidRPr="00C94273" w:rsidRDefault="005528F8" w:rsidP="005B70CC">
            <w:pPr>
              <w:rPr>
                <w:color w:val="000000" w:themeColor="text1"/>
                <w:sz w:val="20"/>
                <w:szCs w:val="20"/>
              </w:rPr>
            </w:pPr>
            <w:r w:rsidRPr="00C94273">
              <w:rPr>
                <w:color w:val="000000" w:themeColor="text1"/>
                <w:sz w:val="20"/>
                <w:szCs w:val="20"/>
              </w:rPr>
              <w:t>IUCN</w:t>
            </w:r>
          </w:p>
        </w:tc>
      </w:tr>
      <w:tr w:rsidR="005B70CC" w:rsidRPr="00C94273" w:rsidTr="005B70CC">
        <w:trPr>
          <w:cantSplit/>
        </w:trPr>
        <w:tc>
          <w:tcPr>
            <w:tcW w:w="3085" w:type="dxa"/>
          </w:tcPr>
          <w:p w:rsidR="005528F8" w:rsidRPr="00C94273" w:rsidRDefault="001E728F" w:rsidP="005B70CC">
            <w:pPr>
              <w:rPr>
                <w:sz w:val="20"/>
                <w:szCs w:val="20"/>
              </w:rPr>
            </w:pPr>
            <w:hyperlink r:id="rId197" w:history="1">
              <w:r w:rsidR="005528F8" w:rsidRPr="00C94273">
                <w:rPr>
                  <w:rStyle w:val="Hyperlink"/>
                  <w:sz w:val="20"/>
                  <w:szCs w:val="20"/>
                </w:rPr>
                <w:t>Safe havens : protected areas for disaster risk reduction and climate change adaptation</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sz w:val="20"/>
                <w:szCs w:val="20"/>
              </w:rPr>
            </w:pPr>
            <w:r w:rsidRPr="00C94273">
              <w:rPr>
                <w:sz w:val="20"/>
                <w:szCs w:val="20"/>
              </w:rPr>
              <w:t>E</w:t>
            </w:r>
          </w:p>
        </w:tc>
        <w:tc>
          <w:tcPr>
            <w:tcW w:w="5135" w:type="dxa"/>
          </w:tcPr>
          <w:p w:rsidR="005528F8" w:rsidRPr="00C94273" w:rsidRDefault="005528F8" w:rsidP="005B70CC">
            <w:pPr>
              <w:rPr>
                <w:color w:val="000000" w:themeColor="text1"/>
                <w:sz w:val="20"/>
                <w:szCs w:val="20"/>
              </w:rPr>
            </w:pPr>
            <w:r w:rsidRPr="00C94273">
              <w:rPr>
                <w:color w:val="000000" w:themeColor="text1"/>
                <w:sz w:val="20"/>
                <w:szCs w:val="20"/>
              </w:rPr>
              <w:t>IUCN, KNCF, Blue Solutions</w:t>
            </w:r>
          </w:p>
        </w:tc>
      </w:tr>
      <w:tr w:rsidR="005B70CC" w:rsidRPr="00C94273" w:rsidTr="005B70CC">
        <w:trPr>
          <w:cantSplit/>
        </w:trPr>
        <w:tc>
          <w:tcPr>
            <w:tcW w:w="3085" w:type="dxa"/>
          </w:tcPr>
          <w:p w:rsidR="005528F8" w:rsidRPr="00C94273" w:rsidRDefault="001E728F" w:rsidP="005B70CC">
            <w:pPr>
              <w:rPr>
                <w:sz w:val="20"/>
                <w:szCs w:val="20"/>
              </w:rPr>
            </w:pPr>
            <w:hyperlink r:id="rId198" w:history="1">
              <w:r w:rsidR="005528F8" w:rsidRPr="00C94273">
                <w:rPr>
                  <w:rStyle w:val="Hyperlink"/>
                  <w:sz w:val="20"/>
                  <w:szCs w:val="20"/>
                </w:rPr>
                <w:t>Mitigating climate change through restoration and management of coastal wetlands and near-shore marine ecosystems : challenges and opportunities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sz w:val="20"/>
                <w:szCs w:val="20"/>
              </w:rPr>
            </w:pPr>
            <w:r w:rsidRPr="00C94273">
              <w:rPr>
                <w:sz w:val="20"/>
                <w:szCs w:val="20"/>
              </w:rPr>
              <w:t>E</w:t>
            </w:r>
          </w:p>
        </w:tc>
        <w:tc>
          <w:tcPr>
            <w:tcW w:w="5135" w:type="dxa"/>
          </w:tcPr>
          <w:p w:rsidR="005528F8" w:rsidRPr="00C94273" w:rsidRDefault="005528F8" w:rsidP="005B70CC">
            <w:pPr>
              <w:rPr>
                <w:color w:val="000000" w:themeColor="text1"/>
                <w:sz w:val="20"/>
                <w:szCs w:val="20"/>
              </w:rPr>
            </w:pPr>
            <w:r w:rsidRPr="00C94273">
              <w:rPr>
                <w:color w:val="000000" w:themeColor="text1"/>
                <w:sz w:val="20"/>
                <w:szCs w:val="20"/>
              </w:rPr>
              <w:t>IUCN, World Bank, ESA</w:t>
            </w:r>
          </w:p>
        </w:tc>
      </w:tr>
      <w:tr w:rsidR="005B70CC" w:rsidRPr="00C94273" w:rsidTr="005B70CC">
        <w:trPr>
          <w:cantSplit/>
        </w:trPr>
        <w:tc>
          <w:tcPr>
            <w:tcW w:w="3085" w:type="dxa"/>
          </w:tcPr>
          <w:p w:rsidR="005528F8" w:rsidRPr="00C94273" w:rsidRDefault="001E728F" w:rsidP="005B70CC">
            <w:pPr>
              <w:rPr>
                <w:sz w:val="20"/>
                <w:szCs w:val="20"/>
                <w:lang w:val="es-ES"/>
              </w:rPr>
            </w:pPr>
            <w:hyperlink r:id="rId199" w:history="1">
              <w:r w:rsidR="005528F8" w:rsidRPr="00C94273">
                <w:rPr>
                  <w:rStyle w:val="Hyperlink"/>
                  <w:sz w:val="20"/>
                  <w:szCs w:val="20"/>
                  <w:lang w:val="es-ES"/>
                </w:rPr>
                <w:t>El cambio climático y los humedales en Centroamérica : implicaciones de la variación climática para los ecosistemas acuáticos y su manejo en la región</w:t>
              </w:r>
            </w:hyperlink>
          </w:p>
        </w:tc>
        <w:tc>
          <w:tcPr>
            <w:tcW w:w="1276" w:type="dxa"/>
          </w:tcPr>
          <w:p w:rsidR="005528F8" w:rsidRPr="00C94273" w:rsidRDefault="005528F8" w:rsidP="005B70CC">
            <w:pPr>
              <w:rPr>
                <w:rFonts w:cs="Arial"/>
                <w:sz w:val="20"/>
                <w:szCs w:val="20"/>
                <w:lang w:val="es-ES"/>
              </w:rPr>
            </w:pPr>
          </w:p>
        </w:tc>
        <w:tc>
          <w:tcPr>
            <w:tcW w:w="2126" w:type="dxa"/>
          </w:tcPr>
          <w:p w:rsidR="005528F8" w:rsidRPr="00C94273" w:rsidRDefault="005528F8" w:rsidP="005B70CC">
            <w:pPr>
              <w:rPr>
                <w:rFonts w:cs="Arial"/>
                <w:sz w:val="20"/>
                <w:szCs w:val="20"/>
                <w:lang w:val="es-ES"/>
              </w:rPr>
            </w:pPr>
          </w:p>
        </w:tc>
        <w:tc>
          <w:tcPr>
            <w:tcW w:w="1276" w:type="dxa"/>
          </w:tcPr>
          <w:p w:rsidR="005528F8" w:rsidRPr="00C94273" w:rsidRDefault="005528F8" w:rsidP="005B70CC">
            <w:pPr>
              <w:rPr>
                <w:rFonts w:cs="Arial"/>
                <w:sz w:val="20"/>
                <w:szCs w:val="20"/>
                <w:lang w:val="es-ES"/>
              </w:rPr>
            </w:pPr>
          </w:p>
        </w:tc>
        <w:tc>
          <w:tcPr>
            <w:tcW w:w="1276" w:type="dxa"/>
          </w:tcPr>
          <w:p w:rsidR="005528F8" w:rsidRPr="00C94273" w:rsidRDefault="005528F8" w:rsidP="005B70CC">
            <w:pPr>
              <w:rPr>
                <w:sz w:val="20"/>
                <w:szCs w:val="20"/>
                <w:lang w:val="es-ES"/>
              </w:rPr>
            </w:pPr>
            <w:r w:rsidRPr="00C94273">
              <w:rPr>
                <w:sz w:val="20"/>
                <w:szCs w:val="20"/>
                <w:lang w:val="es-ES"/>
              </w:rPr>
              <w:t>S</w:t>
            </w:r>
          </w:p>
        </w:tc>
        <w:tc>
          <w:tcPr>
            <w:tcW w:w="5135" w:type="dxa"/>
          </w:tcPr>
          <w:p w:rsidR="005528F8" w:rsidRPr="00C94273" w:rsidRDefault="005528F8" w:rsidP="005B70CC">
            <w:pPr>
              <w:rPr>
                <w:sz w:val="20"/>
                <w:szCs w:val="20"/>
                <w:lang w:val="es-ES"/>
              </w:rPr>
            </w:pPr>
            <w:r w:rsidRPr="00C94273">
              <w:rPr>
                <w:sz w:val="20"/>
                <w:szCs w:val="20"/>
                <w:lang w:val="es-ES"/>
              </w:rPr>
              <w:t>IUCN</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0" w:history="1">
              <w:r w:rsidR="00385CCE" w:rsidRPr="00C94273">
                <w:rPr>
                  <w:rStyle w:val="Hyperlink"/>
                  <w:sz w:val="20"/>
                  <w:szCs w:val="20"/>
                </w:rPr>
                <w:t>Peatlands - guidance for climate change mitigation through conservation, rehabilitation and sustainable use</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rFonts w:cs="Arial"/>
                <w:sz w:val="20"/>
                <w:szCs w:val="20"/>
              </w:rPr>
              <w:t>E</w:t>
            </w:r>
          </w:p>
        </w:tc>
        <w:tc>
          <w:tcPr>
            <w:tcW w:w="5135" w:type="dxa"/>
          </w:tcPr>
          <w:p w:rsidR="005528F8" w:rsidRPr="00C94273" w:rsidRDefault="005528F8" w:rsidP="005B70CC">
            <w:pPr>
              <w:rPr>
                <w:sz w:val="20"/>
                <w:szCs w:val="20"/>
              </w:rPr>
            </w:pPr>
            <w:r w:rsidRPr="00C94273">
              <w:rPr>
                <w:sz w:val="20"/>
                <w:szCs w:val="20"/>
              </w:rPr>
              <w:t>Wetlands International et al.</w:t>
            </w:r>
          </w:p>
          <w:p w:rsidR="005528F8" w:rsidRPr="00C94273" w:rsidRDefault="005528F8" w:rsidP="005B70CC">
            <w:pPr>
              <w:rPr>
                <w:sz w:val="20"/>
                <w:szCs w:val="20"/>
              </w:rPr>
            </w:pPr>
            <w:r w:rsidRPr="00C94273">
              <w:rPr>
                <w:sz w:val="20"/>
                <w:szCs w:val="20"/>
                <w:u w:val="single"/>
              </w:rPr>
              <w:t>Summary</w:t>
            </w:r>
            <w:r w:rsidRPr="00C94273">
              <w:rPr>
                <w:sz w:val="20"/>
                <w:szCs w:val="20"/>
              </w:rPr>
              <w:t>: “This report provides information on management and finance options to achieve emissions reductions and enhance other vital ecosystem services from peatlands. A decision support tree guides users through options for the management of both cultivated and uncultivated peatlands. The report also summarizes the methodologies and data available for quantifying greenhouse gas emissions from peatlands and organic soils. Practical approaches are presented concerning measuring, reporting and verification, and accounting of greenhouse gas emissions. Country-specific case studies illustrate the problems, solutions and opportunities associated with peatland management. This report is a handbook for policy-makers, technical audiences and others interested in peatlands.”</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1" w:history="1">
              <w:r w:rsidR="00385CCE" w:rsidRPr="00C94273">
                <w:rPr>
                  <w:rStyle w:val="Hyperlink"/>
                  <w:sz w:val="20"/>
                  <w:szCs w:val="20"/>
                </w:rPr>
                <w:t>Assessment on peatlands, biodiversity and climate change</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lang w:val="fr-FR"/>
              </w:rPr>
            </w:pPr>
            <w:r w:rsidRPr="00C94273">
              <w:rPr>
                <w:rFonts w:cs="Arial"/>
                <w:sz w:val="20"/>
                <w:szCs w:val="20"/>
                <w:lang w:val="fr-FR"/>
              </w:rPr>
              <w:t>E</w:t>
            </w:r>
          </w:p>
        </w:tc>
        <w:tc>
          <w:tcPr>
            <w:tcW w:w="5135" w:type="dxa"/>
          </w:tcPr>
          <w:p w:rsidR="005528F8" w:rsidRPr="00C94273" w:rsidRDefault="005528F8" w:rsidP="005B70CC">
            <w:pPr>
              <w:rPr>
                <w:sz w:val="20"/>
                <w:szCs w:val="20"/>
              </w:rPr>
            </w:pPr>
            <w:r w:rsidRPr="00C94273">
              <w:rPr>
                <w:sz w:val="20"/>
                <w:szCs w:val="20"/>
              </w:rPr>
              <w:t>Wetlands International et al.</w:t>
            </w:r>
          </w:p>
          <w:p w:rsidR="005528F8" w:rsidRPr="00C94273" w:rsidRDefault="005528F8" w:rsidP="005B70CC">
            <w:pPr>
              <w:rPr>
                <w:sz w:val="20"/>
                <w:szCs w:val="20"/>
              </w:rPr>
            </w:pPr>
            <w:r w:rsidRPr="00C94273">
              <w:rPr>
                <w:sz w:val="20"/>
                <w:szCs w:val="20"/>
                <w:u w:val="single"/>
              </w:rPr>
              <w:t>Summary</w:t>
            </w:r>
            <w:r w:rsidRPr="00C94273">
              <w:rPr>
                <w:sz w:val="20"/>
                <w:szCs w:val="20"/>
              </w:rPr>
              <w:t>: “The global Assessment on Peatlands, Biodiversity and Climate Change . . . includes analyses of information from numerous studies throughout the world on different aspects of peatland functions, values and management and their importance to both biodiversity conservation and global climate regulation. . . . The Assessment was prepared through a review of scientific information on the nature and value of peatlands in relation to biodiversity and climate change, the impact of human activities and potential sustainable management options.”</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2" w:history="1">
              <w:r w:rsidR="005528F8" w:rsidRPr="00C94273">
                <w:rPr>
                  <w:rStyle w:val="Hyperlink"/>
                  <w:sz w:val="20"/>
                  <w:szCs w:val="20"/>
                </w:rPr>
                <w:t>The Economics of Ecosystems and Biodiversity for Water and Wetlands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sz w:val="20"/>
                <w:szCs w:val="20"/>
              </w:rPr>
              <w:t>E (summary available in EFSRAC)</w:t>
            </w:r>
          </w:p>
        </w:tc>
        <w:tc>
          <w:tcPr>
            <w:tcW w:w="5135" w:type="dxa"/>
          </w:tcPr>
          <w:p w:rsidR="005528F8" w:rsidRPr="00C94273" w:rsidRDefault="005528F8" w:rsidP="005B70CC">
            <w:pPr>
              <w:rPr>
                <w:sz w:val="20"/>
                <w:szCs w:val="20"/>
              </w:rPr>
            </w:pPr>
            <w:r w:rsidRPr="00C94273">
              <w:rPr>
                <w:sz w:val="20"/>
                <w:szCs w:val="20"/>
              </w:rPr>
              <w:t>IEEP &amp; Ramsar</w:t>
            </w:r>
          </w:p>
          <w:p w:rsidR="005528F8" w:rsidRPr="00C94273" w:rsidRDefault="005528F8" w:rsidP="005B70CC">
            <w:pPr>
              <w:rPr>
                <w:sz w:val="20"/>
                <w:szCs w:val="20"/>
              </w:rPr>
            </w:pPr>
            <w:r w:rsidRPr="00C94273">
              <w:rPr>
                <w:sz w:val="20"/>
                <w:szCs w:val="20"/>
                <w:u w:val="single"/>
              </w:rPr>
              <w:t>Summary</w:t>
            </w:r>
            <w:r w:rsidRPr="00C94273">
              <w:rPr>
                <w:sz w:val="20"/>
                <w:szCs w:val="20"/>
              </w:rPr>
              <w:t>: “TEEB Water and Wetlands aims to show how recognizing, demonstrating, and capturing the values of ecosystem services related to water and wetlands can lead to better informed, more efficient, and fairer decision making. . . . It is about the ‘values’ of the ecosystem services provided by water and wetlands, which can be expressed in a number of ways and methods. . . . This report aims to support evidence-based decision making by presenting an array of ecosystem service values in varying contexts.” The report includes examples of wetland restoration projects and discusses the role of wetlands in climate regulation.</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3" w:history="1">
              <w:r w:rsidR="005528F8" w:rsidRPr="00C94273">
                <w:rPr>
                  <w:rStyle w:val="Hyperlink"/>
                  <w:sz w:val="20"/>
                  <w:szCs w:val="20"/>
                </w:rPr>
                <w:t>Guiding principles for delivering coastal wetland carbon projects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rFonts w:cs="Arial"/>
                <w:sz w:val="20"/>
                <w:szCs w:val="20"/>
              </w:rPr>
              <w:t>E</w:t>
            </w:r>
          </w:p>
        </w:tc>
        <w:tc>
          <w:tcPr>
            <w:tcW w:w="5135" w:type="dxa"/>
          </w:tcPr>
          <w:p w:rsidR="005528F8" w:rsidRPr="00C94273" w:rsidRDefault="005528F8" w:rsidP="005B70CC">
            <w:pPr>
              <w:rPr>
                <w:sz w:val="20"/>
                <w:szCs w:val="20"/>
              </w:rPr>
            </w:pPr>
            <w:r w:rsidRPr="00C94273">
              <w:rPr>
                <w:sz w:val="20"/>
                <w:szCs w:val="20"/>
              </w:rPr>
              <w:t>UNEP, CIFOR, et al.</w:t>
            </w:r>
          </w:p>
          <w:p w:rsidR="005528F8" w:rsidRPr="00C94273" w:rsidRDefault="005528F8" w:rsidP="005B70CC">
            <w:pPr>
              <w:rPr>
                <w:sz w:val="20"/>
                <w:szCs w:val="20"/>
              </w:rPr>
            </w:pPr>
            <w:r w:rsidRPr="00C94273">
              <w:rPr>
                <w:sz w:val="20"/>
                <w:szCs w:val="20"/>
                <w:u w:val="single"/>
              </w:rPr>
              <w:t>Summary</w:t>
            </w:r>
            <w:r w:rsidRPr="00C94273">
              <w:rPr>
                <w:sz w:val="20"/>
                <w:szCs w:val="20"/>
              </w:rPr>
              <w:t>: “This document provides knowledge-based guidance for a range of interventions, including policy actions, adjusted management actions or project-based investments that lead to improved coastal wetlands conditions for climate change mitigation and adaptation. Drawing on lessons learned and case studies from coastal wetland management and restoration as well as terrestrial carbon projects, guiding principles are identified.”</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4" w:history="1">
              <w:r w:rsidR="005528F8" w:rsidRPr="00C94273">
                <w:rPr>
                  <w:rStyle w:val="Hyperlink"/>
                  <w:sz w:val="20"/>
                  <w:szCs w:val="20"/>
                </w:rPr>
                <w:t>Peatlands, climate change mitigation and biodiversity conservation</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rFonts w:cs="Arial"/>
                <w:sz w:val="20"/>
                <w:szCs w:val="20"/>
              </w:rPr>
              <w:t>E</w:t>
            </w:r>
          </w:p>
        </w:tc>
        <w:tc>
          <w:tcPr>
            <w:tcW w:w="5135" w:type="dxa"/>
          </w:tcPr>
          <w:p w:rsidR="005528F8" w:rsidRPr="00C94273" w:rsidRDefault="005528F8" w:rsidP="005B70CC">
            <w:pPr>
              <w:rPr>
                <w:sz w:val="20"/>
                <w:szCs w:val="20"/>
              </w:rPr>
            </w:pPr>
            <w:proofErr w:type="spellStart"/>
            <w:r w:rsidRPr="00C94273">
              <w:rPr>
                <w:sz w:val="20"/>
                <w:szCs w:val="20"/>
              </w:rPr>
              <w:t>Norden</w:t>
            </w:r>
            <w:proofErr w:type="spellEnd"/>
          </w:p>
          <w:p w:rsidR="005528F8" w:rsidRPr="00C94273" w:rsidRDefault="005528F8" w:rsidP="005B70CC">
            <w:pPr>
              <w:rPr>
                <w:sz w:val="20"/>
                <w:szCs w:val="20"/>
              </w:rPr>
            </w:pPr>
            <w:r w:rsidRPr="00C94273">
              <w:rPr>
                <w:sz w:val="20"/>
                <w:szCs w:val="20"/>
                <w:u w:val="single"/>
              </w:rPr>
              <w:t>Summary</w:t>
            </w:r>
            <w:r w:rsidRPr="00C94273">
              <w:rPr>
                <w:sz w:val="20"/>
                <w:szCs w:val="20"/>
              </w:rPr>
              <w:t>: “An issue brief on the importance of peatlands for carbon and biodiversity conservation and the role of drained peatlands as greenhouse gas emission hotspots.” One of the document’s recommendations is the “[p]</w:t>
            </w:r>
            <w:proofErr w:type="spellStart"/>
            <w:r w:rsidRPr="00C94273">
              <w:rPr>
                <w:sz w:val="20"/>
                <w:szCs w:val="20"/>
              </w:rPr>
              <w:t>romotion</w:t>
            </w:r>
            <w:proofErr w:type="spellEnd"/>
            <w:r w:rsidRPr="00C94273">
              <w:rPr>
                <w:sz w:val="20"/>
                <w:szCs w:val="20"/>
              </w:rPr>
              <w:t xml:space="preserve"> of the role of peatland rewetting and restoration in reaching national and international policy targets, especially for climate regulation, water quality and biodiversity conservation.”</w:t>
            </w:r>
          </w:p>
        </w:tc>
      </w:tr>
      <w:tr w:rsidR="005B70CC" w:rsidRPr="00C94273" w:rsidTr="005B70CC">
        <w:trPr>
          <w:cantSplit/>
        </w:trPr>
        <w:tc>
          <w:tcPr>
            <w:tcW w:w="3085" w:type="dxa"/>
          </w:tcPr>
          <w:p w:rsidR="005528F8" w:rsidRPr="00C94273" w:rsidRDefault="001E728F" w:rsidP="005B70CC">
            <w:pPr>
              <w:rPr>
                <w:color w:val="0000FF" w:themeColor="hyperlink"/>
                <w:sz w:val="20"/>
                <w:szCs w:val="20"/>
                <w:u w:val="single"/>
              </w:rPr>
            </w:pPr>
            <w:hyperlink r:id="rId205" w:history="1">
              <w:r w:rsidR="005528F8" w:rsidRPr="00C94273">
                <w:rPr>
                  <w:rStyle w:val="Hyperlink"/>
                  <w:sz w:val="20"/>
                  <w:szCs w:val="20"/>
                </w:rPr>
                <w:t>Peatlands and Climate Change in a Ramsar Context—a Nordic Baltic Perspective</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rFonts w:cs="Arial"/>
                <w:sz w:val="20"/>
                <w:szCs w:val="20"/>
              </w:rPr>
              <w:t>E</w:t>
            </w:r>
          </w:p>
        </w:tc>
        <w:tc>
          <w:tcPr>
            <w:tcW w:w="5135" w:type="dxa"/>
          </w:tcPr>
          <w:p w:rsidR="005528F8" w:rsidRPr="00C94273" w:rsidRDefault="005528F8" w:rsidP="005B70CC">
            <w:pPr>
              <w:rPr>
                <w:sz w:val="20"/>
                <w:szCs w:val="20"/>
              </w:rPr>
            </w:pPr>
            <w:proofErr w:type="spellStart"/>
            <w:r w:rsidRPr="00C94273">
              <w:rPr>
                <w:sz w:val="20"/>
                <w:szCs w:val="20"/>
              </w:rPr>
              <w:t>Norden</w:t>
            </w:r>
            <w:proofErr w:type="spellEnd"/>
          </w:p>
          <w:p w:rsidR="005528F8" w:rsidRPr="00C94273" w:rsidRDefault="005528F8" w:rsidP="005B70CC">
            <w:pPr>
              <w:rPr>
                <w:sz w:val="20"/>
                <w:szCs w:val="20"/>
              </w:rPr>
            </w:pPr>
            <w:r w:rsidRPr="00C94273">
              <w:rPr>
                <w:sz w:val="20"/>
                <w:szCs w:val="20"/>
                <w:u w:val="single"/>
              </w:rPr>
              <w:t>Summary</w:t>
            </w:r>
            <w:r w:rsidRPr="00C94273">
              <w:rPr>
                <w:sz w:val="20"/>
                <w:szCs w:val="20"/>
              </w:rPr>
              <w:t>: “The Nordic Baltic Wetlands Initiative (</w:t>
            </w:r>
            <w:proofErr w:type="spellStart"/>
            <w:r w:rsidRPr="00C94273">
              <w:rPr>
                <w:sz w:val="20"/>
                <w:szCs w:val="20"/>
              </w:rPr>
              <w:t>NorBalWet</w:t>
            </w:r>
            <w:proofErr w:type="spellEnd"/>
            <w:r w:rsidRPr="00C94273">
              <w:rPr>
                <w:sz w:val="20"/>
                <w:szCs w:val="20"/>
              </w:rPr>
              <w:t xml:space="preserve">) is a Ramsar regional initiative with as participants Denmark, Greenland, Faroe Islands, Estonia, Finland, Iceland, Latvia, Lithuania, Norway, Sweden and Oblasts from </w:t>
            </w:r>
            <w:proofErr w:type="spellStart"/>
            <w:r w:rsidRPr="00C94273">
              <w:rPr>
                <w:sz w:val="20"/>
                <w:szCs w:val="20"/>
              </w:rPr>
              <w:t>Northwestern</w:t>
            </w:r>
            <w:proofErr w:type="spellEnd"/>
            <w:r w:rsidRPr="00C94273">
              <w:rPr>
                <w:sz w:val="20"/>
                <w:szCs w:val="20"/>
              </w:rPr>
              <w:t xml:space="preserve"> Russia. . . . [T]he </w:t>
            </w:r>
            <w:proofErr w:type="spellStart"/>
            <w:r w:rsidRPr="00C94273">
              <w:rPr>
                <w:sz w:val="20"/>
                <w:szCs w:val="20"/>
              </w:rPr>
              <w:t>NorBalWet</w:t>
            </w:r>
            <w:proofErr w:type="spellEnd"/>
            <w:r w:rsidRPr="00C94273">
              <w:rPr>
                <w:sz w:val="20"/>
                <w:szCs w:val="20"/>
              </w:rPr>
              <w:t xml:space="preserve"> Initiative initiated a project to assess the importance of Nordic Baltic peatlands for climate regulation. Next to a country by country assessment, this report discusses the challenges and opportunities to improve the management of peatlands in the </w:t>
            </w:r>
            <w:proofErr w:type="spellStart"/>
            <w:r w:rsidRPr="00C94273">
              <w:rPr>
                <w:sz w:val="20"/>
                <w:szCs w:val="20"/>
              </w:rPr>
              <w:t>NorBalWet</w:t>
            </w:r>
            <w:proofErr w:type="spellEnd"/>
            <w:r w:rsidRPr="00C94273">
              <w:rPr>
                <w:sz w:val="20"/>
                <w:szCs w:val="20"/>
              </w:rPr>
              <w:t xml:space="preserve"> countries for climate change mitigation.”</w:t>
            </w:r>
          </w:p>
        </w:tc>
      </w:tr>
      <w:tr w:rsidR="005B70CC" w:rsidRPr="00A62D14" w:rsidTr="005B70CC">
        <w:trPr>
          <w:cantSplit/>
        </w:trPr>
        <w:tc>
          <w:tcPr>
            <w:tcW w:w="3085" w:type="dxa"/>
          </w:tcPr>
          <w:p w:rsidR="005528F8" w:rsidRPr="00C94273" w:rsidRDefault="001E728F" w:rsidP="005B70CC">
            <w:pPr>
              <w:rPr>
                <w:color w:val="0000FF" w:themeColor="hyperlink"/>
                <w:sz w:val="20"/>
                <w:szCs w:val="20"/>
                <w:u w:val="single"/>
              </w:rPr>
            </w:pPr>
            <w:hyperlink r:id="rId206" w:history="1">
              <w:r w:rsidR="005528F8" w:rsidRPr="00C94273">
                <w:rPr>
                  <w:rStyle w:val="Hyperlink"/>
                  <w:sz w:val="20"/>
                  <w:szCs w:val="20"/>
                </w:rPr>
                <w:t>Restoring the Great Lakes’ Coastal Future: Technical Guidance for the Design and Implementation of Climate-Smart Restoration Projects</w:t>
              </w:r>
            </w:hyperlink>
          </w:p>
        </w:tc>
        <w:tc>
          <w:tcPr>
            <w:tcW w:w="1276" w:type="dxa"/>
          </w:tcPr>
          <w:p w:rsidR="005528F8" w:rsidRPr="00C94273" w:rsidRDefault="005528F8" w:rsidP="005B70CC">
            <w:pPr>
              <w:rPr>
                <w:rFonts w:cs="Arial"/>
                <w:sz w:val="20"/>
                <w:szCs w:val="20"/>
              </w:rPr>
            </w:pPr>
          </w:p>
        </w:tc>
        <w:tc>
          <w:tcPr>
            <w:tcW w:w="212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p>
        </w:tc>
        <w:tc>
          <w:tcPr>
            <w:tcW w:w="1276" w:type="dxa"/>
          </w:tcPr>
          <w:p w:rsidR="005528F8" w:rsidRPr="00C94273" w:rsidRDefault="005528F8" w:rsidP="005B70CC">
            <w:pPr>
              <w:rPr>
                <w:rFonts w:cs="Arial"/>
                <w:sz w:val="20"/>
                <w:szCs w:val="20"/>
              </w:rPr>
            </w:pPr>
            <w:r w:rsidRPr="00C94273">
              <w:rPr>
                <w:rFonts w:cs="Arial"/>
                <w:sz w:val="20"/>
                <w:szCs w:val="20"/>
              </w:rPr>
              <w:t>E</w:t>
            </w:r>
          </w:p>
        </w:tc>
        <w:tc>
          <w:tcPr>
            <w:tcW w:w="5135" w:type="dxa"/>
          </w:tcPr>
          <w:p w:rsidR="005528F8" w:rsidRPr="00C94273" w:rsidRDefault="005528F8" w:rsidP="005B70CC">
            <w:pPr>
              <w:rPr>
                <w:sz w:val="20"/>
                <w:szCs w:val="20"/>
              </w:rPr>
            </w:pPr>
            <w:r w:rsidRPr="00C94273">
              <w:rPr>
                <w:sz w:val="20"/>
                <w:szCs w:val="20"/>
              </w:rPr>
              <w:t>NWF &amp; NOAA</w:t>
            </w:r>
          </w:p>
          <w:p w:rsidR="005528F8" w:rsidRPr="00A62D14" w:rsidRDefault="005528F8" w:rsidP="005B70CC">
            <w:pPr>
              <w:rPr>
                <w:sz w:val="20"/>
                <w:szCs w:val="20"/>
              </w:rPr>
            </w:pPr>
            <w:r w:rsidRPr="00C94273">
              <w:rPr>
                <w:sz w:val="20"/>
                <w:szCs w:val="20"/>
                <w:u w:val="single"/>
              </w:rPr>
              <w:t>Summary</w:t>
            </w:r>
            <w:r w:rsidRPr="00C94273">
              <w:rPr>
                <w:sz w:val="20"/>
                <w:szCs w:val="20"/>
              </w:rPr>
              <w:t xml:space="preserve">: “This guide describes a practiced suite of tools and methods to assist in the planning and implementation of </w:t>
            </w:r>
            <w:proofErr w:type="spellStart"/>
            <w:r w:rsidRPr="00C94273">
              <w:rPr>
                <w:sz w:val="20"/>
                <w:szCs w:val="20"/>
              </w:rPr>
              <w:t>climatesmart</w:t>
            </w:r>
            <w:proofErr w:type="spellEnd"/>
            <w:r w:rsidRPr="00C94273">
              <w:rPr>
                <w:sz w:val="20"/>
                <w:szCs w:val="20"/>
              </w:rPr>
              <w:t xml:space="preserve"> coastal restoration by NOAA, its partners, and others. The guide is informed by workshops, trainings, on-the-ground projects, and other stakeholder input. . . . Although developed specifically for </w:t>
            </w:r>
            <w:proofErr w:type="spellStart"/>
            <w:r w:rsidRPr="00C94273">
              <w:rPr>
                <w:sz w:val="20"/>
                <w:szCs w:val="20"/>
              </w:rPr>
              <w:t>climatesmart</w:t>
            </w:r>
            <w:proofErr w:type="spellEnd"/>
            <w:r w:rsidRPr="00C94273">
              <w:rPr>
                <w:sz w:val="20"/>
                <w:szCs w:val="20"/>
              </w:rPr>
              <w:t xml:space="preserve"> restoration in the Great Lakes, the general procedures should have broader applicability in other regions.”</w:t>
            </w:r>
          </w:p>
        </w:tc>
      </w:tr>
    </w:tbl>
    <w:p w:rsidR="007C49C2" w:rsidRPr="00AD5D54" w:rsidRDefault="007C49C2" w:rsidP="001802FC">
      <w:pPr>
        <w:spacing w:after="0" w:line="240" w:lineRule="auto"/>
        <w:rPr>
          <w:rFonts w:cs="Arial"/>
          <w:sz w:val="20"/>
          <w:szCs w:val="20"/>
        </w:rPr>
      </w:pPr>
    </w:p>
    <w:sectPr w:rsidR="007C49C2" w:rsidRPr="00AD5D54" w:rsidSect="00AD5D54">
      <w:footnotePr>
        <w:numRestart w:val="eachSect"/>
      </w:footnotePr>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78" w:rsidRDefault="00E25678" w:rsidP="009E1083">
      <w:pPr>
        <w:spacing w:after="0" w:line="240" w:lineRule="auto"/>
      </w:pPr>
      <w:r>
        <w:separator/>
      </w:r>
    </w:p>
  </w:endnote>
  <w:endnote w:type="continuationSeparator" w:id="0">
    <w:p w:rsidR="00E25678" w:rsidRDefault="00E25678" w:rsidP="009E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B3" w:rsidRPr="00AD5D54" w:rsidRDefault="00B137B3" w:rsidP="00AD5D54">
    <w:pPr>
      <w:pStyle w:val="Footer"/>
      <w:tabs>
        <w:tab w:val="clear" w:pos="9026"/>
        <w:tab w:val="right" w:pos="14175"/>
      </w:tabs>
      <w:rPr>
        <w:sz w:val="20"/>
        <w:szCs w:val="20"/>
      </w:rPr>
    </w:pPr>
    <w:r w:rsidRPr="00AD5D54">
      <w:rPr>
        <w:sz w:val="20"/>
        <w:szCs w:val="20"/>
      </w:rPr>
      <w:tab/>
    </w:r>
    <w:r w:rsidRPr="00AD5D54">
      <w:rPr>
        <w:sz w:val="20"/>
        <w:szCs w:val="20"/>
      </w:rPr>
      <w:tab/>
    </w:r>
    <w:r w:rsidRPr="00AD5D54">
      <w:rPr>
        <w:sz w:val="20"/>
        <w:szCs w:val="20"/>
      </w:rPr>
      <w:fldChar w:fldCharType="begin"/>
    </w:r>
    <w:r w:rsidRPr="00AD5D54">
      <w:rPr>
        <w:sz w:val="20"/>
        <w:szCs w:val="20"/>
      </w:rPr>
      <w:instrText xml:space="preserve"> PAGE   \* MERGEFORMAT </w:instrText>
    </w:r>
    <w:r w:rsidRPr="00AD5D54">
      <w:rPr>
        <w:sz w:val="20"/>
        <w:szCs w:val="20"/>
      </w:rPr>
      <w:fldChar w:fldCharType="separate"/>
    </w:r>
    <w:r w:rsidR="001E728F">
      <w:rPr>
        <w:noProof/>
        <w:sz w:val="20"/>
        <w:szCs w:val="20"/>
      </w:rPr>
      <w:t>11</w:t>
    </w:r>
    <w:r w:rsidRPr="00AD5D5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78" w:rsidRDefault="00E25678" w:rsidP="009E1083">
      <w:pPr>
        <w:spacing w:after="0" w:line="240" w:lineRule="auto"/>
      </w:pPr>
      <w:r>
        <w:separator/>
      </w:r>
    </w:p>
  </w:footnote>
  <w:footnote w:type="continuationSeparator" w:id="0">
    <w:p w:rsidR="00E25678" w:rsidRDefault="00E25678" w:rsidP="009E1083">
      <w:pPr>
        <w:spacing w:after="0" w:line="240" w:lineRule="auto"/>
      </w:pPr>
      <w:r>
        <w:continuationSeparator/>
      </w:r>
    </w:p>
  </w:footnote>
  <w:footnote w:id="1">
    <w:p w:rsidR="00B137B3" w:rsidRPr="00833F2A" w:rsidRDefault="00B137B3" w:rsidP="00833F2A">
      <w:pPr>
        <w:spacing w:after="0" w:line="240" w:lineRule="auto"/>
        <w:rPr>
          <w:sz w:val="20"/>
          <w:szCs w:val="20"/>
        </w:rPr>
      </w:pPr>
      <w:r w:rsidRPr="00833F2A">
        <w:rPr>
          <w:rStyle w:val="FootnoteReference"/>
          <w:sz w:val="20"/>
          <w:szCs w:val="20"/>
        </w:rPr>
        <w:footnoteRef/>
      </w:r>
      <w:r w:rsidRPr="00833F2A">
        <w:rPr>
          <w:sz w:val="20"/>
          <w:szCs w:val="20"/>
        </w:rPr>
        <w:t xml:space="preserve"> E = English; F = French; S = Spanish; R = Russian; A = Arabic; C = Chinese; K = Korean</w:t>
      </w:r>
    </w:p>
  </w:footnote>
  <w:footnote w:id="2">
    <w:p w:rsidR="00B137B3" w:rsidRPr="00762B18" w:rsidRDefault="00B137B3"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w:t>
      </w:r>
      <w:bookmarkStart w:id="0" w:name="_GoBack"/>
      <w:bookmarkEnd w:id="0"/>
      <w:r w:rsidRPr="001E728F">
        <w:rPr>
          <w:sz w:val="20"/>
          <w:szCs w:val="20"/>
        </w:rPr>
        <w:t>Korean; KM= Khmer, ID= Indonesian, LO: Lao, MY= Burmese, NE= Nepali</w:t>
      </w:r>
      <w:r>
        <w:rPr>
          <w:sz w:val="20"/>
          <w:szCs w:val="20"/>
        </w:rPr>
        <w:t xml:space="preserve">. </w:t>
      </w:r>
    </w:p>
    <w:p w:rsidR="00B137B3" w:rsidRDefault="00B137B3" w:rsidP="009E1083">
      <w:pPr>
        <w:pStyle w:val="FootnoteText"/>
      </w:pPr>
    </w:p>
  </w:footnote>
  <w:footnote w:id="3">
    <w:p w:rsidR="00B137B3" w:rsidRPr="00762B18" w:rsidRDefault="00B137B3"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Korean</w:t>
      </w:r>
    </w:p>
    <w:p w:rsidR="00B137B3" w:rsidRDefault="00B137B3" w:rsidP="004E4484">
      <w:pPr>
        <w:pStyle w:val="FootnoteText"/>
      </w:pPr>
    </w:p>
  </w:footnote>
  <w:footnote w:id="4">
    <w:p w:rsidR="00B137B3" w:rsidRPr="00762B18" w:rsidRDefault="00B137B3" w:rsidP="00762B18">
      <w:pPr>
        <w:spacing w:after="0" w:line="240" w:lineRule="auto"/>
        <w:rPr>
          <w:sz w:val="20"/>
          <w:szCs w:val="20"/>
        </w:rPr>
      </w:pPr>
      <w:r w:rsidRPr="00762B18">
        <w:rPr>
          <w:rStyle w:val="FootnoteReference"/>
          <w:sz w:val="20"/>
          <w:szCs w:val="20"/>
        </w:rPr>
        <w:footnoteRef/>
      </w:r>
      <w:r w:rsidRPr="00762B18">
        <w:rPr>
          <w:sz w:val="20"/>
          <w:szCs w:val="20"/>
        </w:rPr>
        <w:t xml:space="preserve"> E = English; F = French; S = Spanish; R = Russian; A = Arabic; C = Chinese; K = Korean</w:t>
      </w:r>
    </w:p>
    <w:p w:rsidR="00B137B3" w:rsidRDefault="00B137B3" w:rsidP="008B31F7">
      <w:pPr>
        <w:pStyle w:val="FootnoteText"/>
      </w:pPr>
    </w:p>
  </w:footnote>
  <w:footnote w:id="5">
    <w:p w:rsidR="00B137B3" w:rsidRDefault="00B137B3" w:rsidP="007C49C2">
      <w:r>
        <w:rPr>
          <w:rStyle w:val="FootnoteReference"/>
        </w:rPr>
        <w:footnoteRef/>
      </w:r>
      <w:r>
        <w:t xml:space="preserve"> E = English; F = French; S = Spanish; R = Russian; A = Arabic; C = Chinese; K = Korean</w:t>
      </w:r>
    </w:p>
    <w:p w:rsidR="00B137B3" w:rsidRDefault="00B137B3" w:rsidP="007C49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7B3" w:rsidRPr="00D36AE7" w:rsidRDefault="001E728F" w:rsidP="0045082D">
    <w:pPr>
      <w:spacing w:after="0" w:line="240" w:lineRule="auto"/>
      <w:jc w:val="right"/>
      <w:rPr>
        <w:rFonts w:ascii="Calibri" w:hAnsi="Calibri" w:cs="Arial"/>
        <w:sz w:val="20"/>
        <w:szCs w:val="20"/>
      </w:rPr>
    </w:pPr>
    <w:sdt>
      <w:sdtPr>
        <w:rPr>
          <w:rFonts w:ascii="Calibri" w:hAnsi="Calibri" w:cs="Arial"/>
          <w:sz w:val="20"/>
          <w:szCs w:val="20"/>
        </w:rPr>
        <w:id w:val="-973371319"/>
        <w:docPartObj>
          <w:docPartGallery w:val="Watermarks"/>
          <w:docPartUnique/>
        </w:docPartObj>
      </w:sdtPr>
      <w:sdtEndPr/>
      <w:sdtContent>
        <w:r>
          <w:rPr>
            <w:rFonts w:ascii="Calibri" w:hAnsi="Calibri" w:cs="Arial"/>
            <w:noProof/>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137B3" w:rsidRPr="00D36AE7">
      <w:rPr>
        <w:rFonts w:ascii="Calibri" w:hAnsi="Calibri" w:cs="Arial"/>
        <w:sz w:val="20"/>
        <w:szCs w:val="20"/>
      </w:rPr>
      <w:t xml:space="preserve"> </w:t>
    </w:r>
  </w:p>
  <w:p w:rsidR="00B137B3" w:rsidRDefault="00B137B3" w:rsidP="0045082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49"/>
    <w:rsid w:val="000127B8"/>
    <w:rsid w:val="00030C08"/>
    <w:rsid w:val="00063307"/>
    <w:rsid w:val="000656ED"/>
    <w:rsid w:val="000678C6"/>
    <w:rsid w:val="000766CE"/>
    <w:rsid w:val="00077D7B"/>
    <w:rsid w:val="000811D7"/>
    <w:rsid w:val="00091DF0"/>
    <w:rsid w:val="00093B52"/>
    <w:rsid w:val="000A0234"/>
    <w:rsid w:val="000A2276"/>
    <w:rsid w:val="000B2E57"/>
    <w:rsid w:val="000C00C4"/>
    <w:rsid w:val="000C1CC0"/>
    <w:rsid w:val="000C2C33"/>
    <w:rsid w:val="000C6E14"/>
    <w:rsid w:val="000C7C4E"/>
    <w:rsid w:val="000D0CBE"/>
    <w:rsid w:val="000E2B64"/>
    <w:rsid w:val="000E7EAF"/>
    <w:rsid w:val="000F047C"/>
    <w:rsid w:val="000F6FFB"/>
    <w:rsid w:val="0010117F"/>
    <w:rsid w:val="00112615"/>
    <w:rsid w:val="0011490F"/>
    <w:rsid w:val="0012096C"/>
    <w:rsid w:val="00123692"/>
    <w:rsid w:val="00125A83"/>
    <w:rsid w:val="00130345"/>
    <w:rsid w:val="00130D84"/>
    <w:rsid w:val="00132900"/>
    <w:rsid w:val="00136AB4"/>
    <w:rsid w:val="00144FA2"/>
    <w:rsid w:val="001552E3"/>
    <w:rsid w:val="00155E33"/>
    <w:rsid w:val="001579FA"/>
    <w:rsid w:val="0016476F"/>
    <w:rsid w:val="001660F3"/>
    <w:rsid w:val="001802FC"/>
    <w:rsid w:val="00181B91"/>
    <w:rsid w:val="001B6904"/>
    <w:rsid w:val="001E3D35"/>
    <w:rsid w:val="001E479A"/>
    <w:rsid w:val="001E728F"/>
    <w:rsid w:val="001F747C"/>
    <w:rsid w:val="0020282F"/>
    <w:rsid w:val="002123BA"/>
    <w:rsid w:val="00236319"/>
    <w:rsid w:val="00242DE1"/>
    <w:rsid w:val="002442AD"/>
    <w:rsid w:val="0024616B"/>
    <w:rsid w:val="00250420"/>
    <w:rsid w:val="0025414B"/>
    <w:rsid w:val="00262D45"/>
    <w:rsid w:val="00263CF9"/>
    <w:rsid w:val="002678AB"/>
    <w:rsid w:val="00275B0D"/>
    <w:rsid w:val="00287810"/>
    <w:rsid w:val="00295556"/>
    <w:rsid w:val="00297B45"/>
    <w:rsid w:val="002A1C2C"/>
    <w:rsid w:val="002A2C58"/>
    <w:rsid w:val="002A5F13"/>
    <w:rsid w:val="002A61FB"/>
    <w:rsid w:val="002B6F2C"/>
    <w:rsid w:val="002D1110"/>
    <w:rsid w:val="002D3D8F"/>
    <w:rsid w:val="002E1F75"/>
    <w:rsid w:val="002F6BDB"/>
    <w:rsid w:val="002F6E75"/>
    <w:rsid w:val="003010D6"/>
    <w:rsid w:val="00301AD2"/>
    <w:rsid w:val="00302D45"/>
    <w:rsid w:val="00306157"/>
    <w:rsid w:val="0031055D"/>
    <w:rsid w:val="003166CC"/>
    <w:rsid w:val="003207C6"/>
    <w:rsid w:val="003420B5"/>
    <w:rsid w:val="00377CD4"/>
    <w:rsid w:val="003801E9"/>
    <w:rsid w:val="00384E2D"/>
    <w:rsid w:val="00385CCE"/>
    <w:rsid w:val="0038737B"/>
    <w:rsid w:val="00390032"/>
    <w:rsid w:val="003935E6"/>
    <w:rsid w:val="0039765E"/>
    <w:rsid w:val="003A38FD"/>
    <w:rsid w:val="003B012C"/>
    <w:rsid w:val="003B2A57"/>
    <w:rsid w:val="003D79F9"/>
    <w:rsid w:val="003E2936"/>
    <w:rsid w:val="003E4AD2"/>
    <w:rsid w:val="00400913"/>
    <w:rsid w:val="004316ED"/>
    <w:rsid w:val="00433DDD"/>
    <w:rsid w:val="0043685F"/>
    <w:rsid w:val="0044017A"/>
    <w:rsid w:val="0044295B"/>
    <w:rsid w:val="004443EE"/>
    <w:rsid w:val="0045082D"/>
    <w:rsid w:val="00452D25"/>
    <w:rsid w:val="004728C4"/>
    <w:rsid w:val="00475AA4"/>
    <w:rsid w:val="00492FA3"/>
    <w:rsid w:val="00493C38"/>
    <w:rsid w:val="004B22B3"/>
    <w:rsid w:val="004C228B"/>
    <w:rsid w:val="004D53C2"/>
    <w:rsid w:val="004E4484"/>
    <w:rsid w:val="004F67D4"/>
    <w:rsid w:val="005048F8"/>
    <w:rsid w:val="00526A8B"/>
    <w:rsid w:val="00527783"/>
    <w:rsid w:val="005528F8"/>
    <w:rsid w:val="00570EF7"/>
    <w:rsid w:val="00585292"/>
    <w:rsid w:val="00586B39"/>
    <w:rsid w:val="005959C2"/>
    <w:rsid w:val="005A1E93"/>
    <w:rsid w:val="005B70CC"/>
    <w:rsid w:val="005C06B3"/>
    <w:rsid w:val="005D094F"/>
    <w:rsid w:val="005D4B91"/>
    <w:rsid w:val="005D5E35"/>
    <w:rsid w:val="005D6307"/>
    <w:rsid w:val="005F0B97"/>
    <w:rsid w:val="005F520D"/>
    <w:rsid w:val="00604322"/>
    <w:rsid w:val="00607A9A"/>
    <w:rsid w:val="00615F66"/>
    <w:rsid w:val="006268EE"/>
    <w:rsid w:val="00630789"/>
    <w:rsid w:val="006450F2"/>
    <w:rsid w:val="00651DEC"/>
    <w:rsid w:val="00665782"/>
    <w:rsid w:val="00667EF8"/>
    <w:rsid w:val="0067285C"/>
    <w:rsid w:val="00674FC2"/>
    <w:rsid w:val="006758A7"/>
    <w:rsid w:val="00684AB3"/>
    <w:rsid w:val="00684D49"/>
    <w:rsid w:val="00684DBB"/>
    <w:rsid w:val="006853E5"/>
    <w:rsid w:val="006C2822"/>
    <w:rsid w:val="006C759C"/>
    <w:rsid w:val="006D472C"/>
    <w:rsid w:val="006D6017"/>
    <w:rsid w:val="006E3E38"/>
    <w:rsid w:val="006F1782"/>
    <w:rsid w:val="00705AF2"/>
    <w:rsid w:val="007073FA"/>
    <w:rsid w:val="007144EA"/>
    <w:rsid w:val="007150EF"/>
    <w:rsid w:val="007223F8"/>
    <w:rsid w:val="007337D3"/>
    <w:rsid w:val="00747D8D"/>
    <w:rsid w:val="0075151C"/>
    <w:rsid w:val="00754AEC"/>
    <w:rsid w:val="00755A2B"/>
    <w:rsid w:val="00762B18"/>
    <w:rsid w:val="00776522"/>
    <w:rsid w:val="00781C64"/>
    <w:rsid w:val="007A0BA5"/>
    <w:rsid w:val="007A3A64"/>
    <w:rsid w:val="007A4E87"/>
    <w:rsid w:val="007A715D"/>
    <w:rsid w:val="007B08DE"/>
    <w:rsid w:val="007B09EF"/>
    <w:rsid w:val="007B11D5"/>
    <w:rsid w:val="007B2BC3"/>
    <w:rsid w:val="007B6977"/>
    <w:rsid w:val="007C49C2"/>
    <w:rsid w:val="007D073B"/>
    <w:rsid w:val="007D1DAD"/>
    <w:rsid w:val="007E0B31"/>
    <w:rsid w:val="007E364D"/>
    <w:rsid w:val="00811477"/>
    <w:rsid w:val="00820A01"/>
    <w:rsid w:val="008276EE"/>
    <w:rsid w:val="00833F2A"/>
    <w:rsid w:val="00834559"/>
    <w:rsid w:val="00840723"/>
    <w:rsid w:val="00846D11"/>
    <w:rsid w:val="008534B6"/>
    <w:rsid w:val="00863747"/>
    <w:rsid w:val="00867BE1"/>
    <w:rsid w:val="008747A6"/>
    <w:rsid w:val="008763FD"/>
    <w:rsid w:val="008853D9"/>
    <w:rsid w:val="00894318"/>
    <w:rsid w:val="008A2634"/>
    <w:rsid w:val="008B31F7"/>
    <w:rsid w:val="008C3B33"/>
    <w:rsid w:val="008C4354"/>
    <w:rsid w:val="008C4767"/>
    <w:rsid w:val="008E3A33"/>
    <w:rsid w:val="008E77D1"/>
    <w:rsid w:val="008F1780"/>
    <w:rsid w:val="008F5F6F"/>
    <w:rsid w:val="009125DB"/>
    <w:rsid w:val="00917531"/>
    <w:rsid w:val="00917BD1"/>
    <w:rsid w:val="009373A9"/>
    <w:rsid w:val="00947298"/>
    <w:rsid w:val="0095101B"/>
    <w:rsid w:val="0095673B"/>
    <w:rsid w:val="00971F85"/>
    <w:rsid w:val="00974454"/>
    <w:rsid w:val="00975344"/>
    <w:rsid w:val="009845EE"/>
    <w:rsid w:val="00985F9A"/>
    <w:rsid w:val="0099292E"/>
    <w:rsid w:val="009A2865"/>
    <w:rsid w:val="009A74EB"/>
    <w:rsid w:val="009C163C"/>
    <w:rsid w:val="009C1AED"/>
    <w:rsid w:val="009C5F5D"/>
    <w:rsid w:val="009C6D87"/>
    <w:rsid w:val="009D1778"/>
    <w:rsid w:val="009E1083"/>
    <w:rsid w:val="009E1B8F"/>
    <w:rsid w:val="009E422E"/>
    <w:rsid w:val="00A02F5E"/>
    <w:rsid w:val="00A10917"/>
    <w:rsid w:val="00A11805"/>
    <w:rsid w:val="00A1328C"/>
    <w:rsid w:val="00A13EAD"/>
    <w:rsid w:val="00A23C16"/>
    <w:rsid w:val="00A35D22"/>
    <w:rsid w:val="00A37C7E"/>
    <w:rsid w:val="00A45F98"/>
    <w:rsid w:val="00A5232A"/>
    <w:rsid w:val="00A62D14"/>
    <w:rsid w:val="00A648BF"/>
    <w:rsid w:val="00A7029F"/>
    <w:rsid w:val="00A7788B"/>
    <w:rsid w:val="00A81752"/>
    <w:rsid w:val="00AA0E0B"/>
    <w:rsid w:val="00AB0C5F"/>
    <w:rsid w:val="00AB3130"/>
    <w:rsid w:val="00AD35FB"/>
    <w:rsid w:val="00AD5D54"/>
    <w:rsid w:val="00B07DA1"/>
    <w:rsid w:val="00B109DE"/>
    <w:rsid w:val="00B1272E"/>
    <w:rsid w:val="00B137B3"/>
    <w:rsid w:val="00B210B6"/>
    <w:rsid w:val="00B26B56"/>
    <w:rsid w:val="00B3163A"/>
    <w:rsid w:val="00B35441"/>
    <w:rsid w:val="00B475C1"/>
    <w:rsid w:val="00B478DA"/>
    <w:rsid w:val="00B5352E"/>
    <w:rsid w:val="00B651B5"/>
    <w:rsid w:val="00B67D7F"/>
    <w:rsid w:val="00B741D4"/>
    <w:rsid w:val="00B74A29"/>
    <w:rsid w:val="00B81367"/>
    <w:rsid w:val="00BB61BF"/>
    <w:rsid w:val="00BB6B79"/>
    <w:rsid w:val="00BB7BBD"/>
    <w:rsid w:val="00BC6B34"/>
    <w:rsid w:val="00BD0272"/>
    <w:rsid w:val="00BD7123"/>
    <w:rsid w:val="00BF3839"/>
    <w:rsid w:val="00C03804"/>
    <w:rsid w:val="00C03CF3"/>
    <w:rsid w:val="00C04979"/>
    <w:rsid w:val="00C33271"/>
    <w:rsid w:val="00C34F34"/>
    <w:rsid w:val="00C543C3"/>
    <w:rsid w:val="00C651F6"/>
    <w:rsid w:val="00C71039"/>
    <w:rsid w:val="00C755BE"/>
    <w:rsid w:val="00C77EEA"/>
    <w:rsid w:val="00C94273"/>
    <w:rsid w:val="00CB6D0E"/>
    <w:rsid w:val="00CE0FFD"/>
    <w:rsid w:val="00CE2B50"/>
    <w:rsid w:val="00CE3FC8"/>
    <w:rsid w:val="00CE5E9A"/>
    <w:rsid w:val="00CF4870"/>
    <w:rsid w:val="00CF614D"/>
    <w:rsid w:val="00D023F2"/>
    <w:rsid w:val="00D03B6A"/>
    <w:rsid w:val="00D057A7"/>
    <w:rsid w:val="00D07908"/>
    <w:rsid w:val="00D14A15"/>
    <w:rsid w:val="00D25105"/>
    <w:rsid w:val="00D3456C"/>
    <w:rsid w:val="00D36AE7"/>
    <w:rsid w:val="00D42256"/>
    <w:rsid w:val="00D44411"/>
    <w:rsid w:val="00D60AD4"/>
    <w:rsid w:val="00D623DF"/>
    <w:rsid w:val="00D63C40"/>
    <w:rsid w:val="00D66D91"/>
    <w:rsid w:val="00D71313"/>
    <w:rsid w:val="00D75FFF"/>
    <w:rsid w:val="00D91F4B"/>
    <w:rsid w:val="00D9448C"/>
    <w:rsid w:val="00DC32FC"/>
    <w:rsid w:val="00DE1498"/>
    <w:rsid w:val="00E04405"/>
    <w:rsid w:val="00E074F8"/>
    <w:rsid w:val="00E25678"/>
    <w:rsid w:val="00E33BDE"/>
    <w:rsid w:val="00E35FB9"/>
    <w:rsid w:val="00E44448"/>
    <w:rsid w:val="00E5344A"/>
    <w:rsid w:val="00E540AE"/>
    <w:rsid w:val="00E602AE"/>
    <w:rsid w:val="00E60879"/>
    <w:rsid w:val="00E71AD9"/>
    <w:rsid w:val="00E771F3"/>
    <w:rsid w:val="00E773E2"/>
    <w:rsid w:val="00E9310C"/>
    <w:rsid w:val="00E96D08"/>
    <w:rsid w:val="00EA7755"/>
    <w:rsid w:val="00EC2185"/>
    <w:rsid w:val="00ED44C8"/>
    <w:rsid w:val="00ED5088"/>
    <w:rsid w:val="00EF2DE2"/>
    <w:rsid w:val="00F002E4"/>
    <w:rsid w:val="00F03441"/>
    <w:rsid w:val="00F214C5"/>
    <w:rsid w:val="00F214CD"/>
    <w:rsid w:val="00F24C0B"/>
    <w:rsid w:val="00F27208"/>
    <w:rsid w:val="00F33695"/>
    <w:rsid w:val="00F35244"/>
    <w:rsid w:val="00F37463"/>
    <w:rsid w:val="00F37FBF"/>
    <w:rsid w:val="00F429B9"/>
    <w:rsid w:val="00F42A67"/>
    <w:rsid w:val="00F52BA8"/>
    <w:rsid w:val="00F60AA5"/>
    <w:rsid w:val="00F67B0B"/>
    <w:rsid w:val="00F70F12"/>
    <w:rsid w:val="00F92D36"/>
    <w:rsid w:val="00F933A9"/>
    <w:rsid w:val="00F93D80"/>
    <w:rsid w:val="00FA2ECA"/>
    <w:rsid w:val="00FB77AF"/>
    <w:rsid w:val="00FC2C07"/>
    <w:rsid w:val="00FC7132"/>
    <w:rsid w:val="00FF084F"/>
    <w:rsid w:val="00FF2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9F"/>
    <w:rPr>
      <w:color w:val="0000FF" w:themeColor="hyperlink"/>
      <w:u w:val="single"/>
    </w:rPr>
  </w:style>
  <w:style w:type="paragraph" w:styleId="FootnoteText">
    <w:name w:val="footnote text"/>
    <w:basedOn w:val="Normal"/>
    <w:link w:val="FootnoteTextChar"/>
    <w:uiPriority w:val="99"/>
    <w:semiHidden/>
    <w:unhideWhenUsed/>
    <w:rsid w:val="009E10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83"/>
    <w:rPr>
      <w:sz w:val="20"/>
      <w:szCs w:val="20"/>
    </w:rPr>
  </w:style>
  <w:style w:type="character" w:styleId="FootnoteReference">
    <w:name w:val="footnote reference"/>
    <w:basedOn w:val="DefaultParagraphFont"/>
    <w:uiPriority w:val="99"/>
    <w:semiHidden/>
    <w:unhideWhenUsed/>
    <w:rsid w:val="009E1083"/>
    <w:rPr>
      <w:vertAlign w:val="superscript"/>
    </w:rPr>
  </w:style>
  <w:style w:type="paragraph" w:styleId="BalloonText">
    <w:name w:val="Balloon Text"/>
    <w:basedOn w:val="Normal"/>
    <w:link w:val="BalloonTextChar"/>
    <w:uiPriority w:val="99"/>
    <w:semiHidden/>
    <w:unhideWhenUsed/>
    <w:rsid w:val="004E4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84"/>
    <w:rPr>
      <w:rFonts w:ascii="Tahoma" w:hAnsi="Tahoma" w:cs="Tahoma"/>
      <w:sz w:val="16"/>
      <w:szCs w:val="16"/>
    </w:rPr>
  </w:style>
  <w:style w:type="paragraph" w:styleId="Header">
    <w:name w:val="header"/>
    <w:basedOn w:val="Normal"/>
    <w:link w:val="HeaderChar"/>
    <w:uiPriority w:val="99"/>
    <w:unhideWhenUsed/>
    <w:rsid w:val="00604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322"/>
  </w:style>
  <w:style w:type="paragraph" w:styleId="Footer">
    <w:name w:val="footer"/>
    <w:basedOn w:val="Normal"/>
    <w:link w:val="FooterChar"/>
    <w:uiPriority w:val="99"/>
    <w:unhideWhenUsed/>
    <w:rsid w:val="00604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322"/>
  </w:style>
  <w:style w:type="character" w:styleId="FollowedHyperlink">
    <w:name w:val="FollowedHyperlink"/>
    <w:basedOn w:val="DefaultParagraphFont"/>
    <w:uiPriority w:val="99"/>
    <w:semiHidden/>
    <w:unhideWhenUsed/>
    <w:rsid w:val="00604322"/>
    <w:rPr>
      <w:color w:val="800080" w:themeColor="followedHyperlink"/>
      <w:u w:val="single"/>
    </w:rPr>
  </w:style>
  <w:style w:type="character" w:styleId="CommentReference">
    <w:name w:val="annotation reference"/>
    <w:basedOn w:val="DefaultParagraphFont"/>
    <w:uiPriority w:val="99"/>
    <w:semiHidden/>
    <w:unhideWhenUsed/>
    <w:rsid w:val="00E540AE"/>
    <w:rPr>
      <w:sz w:val="16"/>
      <w:szCs w:val="16"/>
    </w:rPr>
  </w:style>
  <w:style w:type="paragraph" w:styleId="CommentText">
    <w:name w:val="annotation text"/>
    <w:basedOn w:val="Normal"/>
    <w:link w:val="CommentTextChar"/>
    <w:uiPriority w:val="99"/>
    <w:semiHidden/>
    <w:unhideWhenUsed/>
    <w:rsid w:val="00E540AE"/>
    <w:pPr>
      <w:spacing w:line="240" w:lineRule="auto"/>
    </w:pPr>
    <w:rPr>
      <w:sz w:val="20"/>
      <w:szCs w:val="20"/>
    </w:rPr>
  </w:style>
  <w:style w:type="character" w:customStyle="1" w:styleId="CommentTextChar">
    <w:name w:val="Comment Text Char"/>
    <w:basedOn w:val="DefaultParagraphFont"/>
    <w:link w:val="CommentText"/>
    <w:uiPriority w:val="99"/>
    <w:semiHidden/>
    <w:rsid w:val="00E540AE"/>
    <w:rPr>
      <w:sz w:val="20"/>
      <w:szCs w:val="20"/>
    </w:rPr>
  </w:style>
  <w:style w:type="paragraph" w:styleId="CommentSubject">
    <w:name w:val="annotation subject"/>
    <w:basedOn w:val="CommentText"/>
    <w:next w:val="CommentText"/>
    <w:link w:val="CommentSubjectChar"/>
    <w:uiPriority w:val="99"/>
    <w:semiHidden/>
    <w:unhideWhenUsed/>
    <w:rsid w:val="00E540AE"/>
    <w:rPr>
      <w:b/>
      <w:bCs/>
    </w:rPr>
  </w:style>
  <w:style w:type="character" w:customStyle="1" w:styleId="CommentSubjectChar">
    <w:name w:val="Comment Subject Char"/>
    <w:basedOn w:val="CommentTextChar"/>
    <w:link w:val="CommentSubject"/>
    <w:uiPriority w:val="99"/>
    <w:semiHidden/>
    <w:rsid w:val="00E540AE"/>
    <w:rPr>
      <w:b/>
      <w:bCs/>
      <w:sz w:val="20"/>
      <w:szCs w:val="20"/>
    </w:rPr>
  </w:style>
  <w:style w:type="character" w:styleId="Strong">
    <w:name w:val="Strong"/>
    <w:basedOn w:val="DefaultParagraphFont"/>
    <w:uiPriority w:val="22"/>
    <w:qFormat/>
    <w:rsid w:val="00250420"/>
    <w:rPr>
      <w:b/>
      <w:bCs/>
    </w:rPr>
  </w:style>
  <w:style w:type="paragraph" w:customStyle="1" w:styleId="Default">
    <w:name w:val="Default"/>
    <w:rsid w:val="000C1C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595">
      <w:bodyDiv w:val="1"/>
      <w:marLeft w:val="0"/>
      <w:marRight w:val="0"/>
      <w:marTop w:val="0"/>
      <w:marBottom w:val="0"/>
      <w:divBdr>
        <w:top w:val="none" w:sz="0" w:space="0" w:color="auto"/>
        <w:left w:val="none" w:sz="0" w:space="0" w:color="auto"/>
        <w:bottom w:val="none" w:sz="0" w:space="0" w:color="auto"/>
        <w:right w:val="none" w:sz="0" w:space="0" w:color="auto"/>
      </w:divBdr>
    </w:div>
    <w:div w:id="147289320">
      <w:bodyDiv w:val="1"/>
      <w:marLeft w:val="0"/>
      <w:marRight w:val="0"/>
      <w:marTop w:val="0"/>
      <w:marBottom w:val="0"/>
      <w:divBdr>
        <w:top w:val="none" w:sz="0" w:space="0" w:color="auto"/>
        <w:left w:val="none" w:sz="0" w:space="0" w:color="auto"/>
        <w:bottom w:val="none" w:sz="0" w:space="0" w:color="auto"/>
        <w:right w:val="none" w:sz="0" w:space="0" w:color="auto"/>
      </w:divBdr>
    </w:div>
    <w:div w:id="147747641">
      <w:bodyDiv w:val="1"/>
      <w:marLeft w:val="0"/>
      <w:marRight w:val="0"/>
      <w:marTop w:val="0"/>
      <w:marBottom w:val="0"/>
      <w:divBdr>
        <w:top w:val="none" w:sz="0" w:space="0" w:color="auto"/>
        <w:left w:val="none" w:sz="0" w:space="0" w:color="auto"/>
        <w:bottom w:val="none" w:sz="0" w:space="0" w:color="auto"/>
        <w:right w:val="none" w:sz="0" w:space="0" w:color="auto"/>
      </w:divBdr>
      <w:divsChild>
        <w:div w:id="703408526">
          <w:marLeft w:val="0"/>
          <w:marRight w:val="0"/>
          <w:marTop w:val="0"/>
          <w:marBottom w:val="0"/>
          <w:divBdr>
            <w:top w:val="none" w:sz="0" w:space="0" w:color="auto"/>
            <w:left w:val="none" w:sz="0" w:space="0" w:color="auto"/>
            <w:bottom w:val="none" w:sz="0" w:space="0" w:color="auto"/>
            <w:right w:val="none" w:sz="0" w:space="0" w:color="auto"/>
          </w:divBdr>
        </w:div>
        <w:div w:id="1389187450">
          <w:marLeft w:val="0"/>
          <w:marRight w:val="0"/>
          <w:marTop w:val="0"/>
          <w:marBottom w:val="0"/>
          <w:divBdr>
            <w:top w:val="none" w:sz="0" w:space="0" w:color="auto"/>
            <w:left w:val="none" w:sz="0" w:space="0" w:color="auto"/>
            <w:bottom w:val="none" w:sz="0" w:space="0" w:color="auto"/>
            <w:right w:val="none" w:sz="0" w:space="0" w:color="auto"/>
          </w:divBdr>
        </w:div>
        <w:div w:id="1121152224">
          <w:marLeft w:val="0"/>
          <w:marRight w:val="0"/>
          <w:marTop w:val="0"/>
          <w:marBottom w:val="0"/>
          <w:divBdr>
            <w:top w:val="none" w:sz="0" w:space="0" w:color="auto"/>
            <w:left w:val="none" w:sz="0" w:space="0" w:color="auto"/>
            <w:bottom w:val="none" w:sz="0" w:space="0" w:color="auto"/>
            <w:right w:val="none" w:sz="0" w:space="0" w:color="auto"/>
          </w:divBdr>
          <w:divsChild>
            <w:div w:id="513350222">
              <w:marLeft w:val="0"/>
              <w:marRight w:val="0"/>
              <w:marTop w:val="0"/>
              <w:marBottom w:val="0"/>
              <w:divBdr>
                <w:top w:val="none" w:sz="0" w:space="0" w:color="auto"/>
                <w:left w:val="none" w:sz="0" w:space="0" w:color="auto"/>
                <w:bottom w:val="none" w:sz="0" w:space="0" w:color="auto"/>
                <w:right w:val="none" w:sz="0" w:space="0" w:color="auto"/>
              </w:divBdr>
              <w:divsChild>
                <w:div w:id="1070469664">
                  <w:marLeft w:val="0"/>
                  <w:marRight w:val="0"/>
                  <w:marTop w:val="0"/>
                  <w:marBottom w:val="0"/>
                  <w:divBdr>
                    <w:top w:val="none" w:sz="0" w:space="0" w:color="auto"/>
                    <w:left w:val="none" w:sz="0" w:space="0" w:color="auto"/>
                    <w:bottom w:val="none" w:sz="0" w:space="0" w:color="auto"/>
                    <w:right w:val="none" w:sz="0" w:space="0" w:color="auto"/>
                  </w:divBdr>
                  <w:divsChild>
                    <w:div w:id="1575511189">
                      <w:marLeft w:val="0"/>
                      <w:marRight w:val="0"/>
                      <w:marTop w:val="0"/>
                      <w:marBottom w:val="0"/>
                      <w:divBdr>
                        <w:top w:val="none" w:sz="0" w:space="0" w:color="auto"/>
                        <w:left w:val="none" w:sz="0" w:space="0" w:color="auto"/>
                        <w:bottom w:val="none" w:sz="0" w:space="0" w:color="auto"/>
                        <w:right w:val="none" w:sz="0" w:space="0" w:color="auto"/>
                      </w:divBdr>
                    </w:div>
                  </w:divsChild>
                </w:div>
                <w:div w:id="1000884483">
                  <w:marLeft w:val="0"/>
                  <w:marRight w:val="0"/>
                  <w:marTop w:val="0"/>
                  <w:marBottom w:val="0"/>
                  <w:divBdr>
                    <w:top w:val="none" w:sz="0" w:space="0" w:color="auto"/>
                    <w:left w:val="none" w:sz="0" w:space="0" w:color="auto"/>
                    <w:bottom w:val="none" w:sz="0" w:space="0" w:color="auto"/>
                    <w:right w:val="none" w:sz="0" w:space="0" w:color="auto"/>
                  </w:divBdr>
                  <w:divsChild>
                    <w:div w:id="1875920672">
                      <w:marLeft w:val="0"/>
                      <w:marRight w:val="0"/>
                      <w:marTop w:val="0"/>
                      <w:marBottom w:val="0"/>
                      <w:divBdr>
                        <w:top w:val="none" w:sz="0" w:space="0" w:color="auto"/>
                        <w:left w:val="none" w:sz="0" w:space="0" w:color="auto"/>
                        <w:bottom w:val="none" w:sz="0" w:space="0" w:color="auto"/>
                        <w:right w:val="none" w:sz="0" w:space="0" w:color="auto"/>
                      </w:divBdr>
                    </w:div>
                  </w:divsChild>
                </w:div>
                <w:div w:id="1318680729">
                  <w:marLeft w:val="0"/>
                  <w:marRight w:val="0"/>
                  <w:marTop w:val="0"/>
                  <w:marBottom w:val="0"/>
                  <w:divBdr>
                    <w:top w:val="none" w:sz="0" w:space="0" w:color="auto"/>
                    <w:left w:val="none" w:sz="0" w:space="0" w:color="auto"/>
                    <w:bottom w:val="none" w:sz="0" w:space="0" w:color="auto"/>
                    <w:right w:val="none" w:sz="0" w:space="0" w:color="auto"/>
                  </w:divBdr>
                  <w:divsChild>
                    <w:div w:id="2491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7371">
          <w:marLeft w:val="0"/>
          <w:marRight w:val="0"/>
          <w:marTop w:val="0"/>
          <w:marBottom w:val="0"/>
          <w:divBdr>
            <w:top w:val="none" w:sz="0" w:space="0" w:color="auto"/>
            <w:left w:val="none" w:sz="0" w:space="0" w:color="auto"/>
            <w:bottom w:val="none" w:sz="0" w:space="0" w:color="auto"/>
            <w:right w:val="none" w:sz="0" w:space="0" w:color="auto"/>
          </w:divBdr>
        </w:div>
        <w:div w:id="382565978">
          <w:marLeft w:val="0"/>
          <w:marRight w:val="0"/>
          <w:marTop w:val="0"/>
          <w:marBottom w:val="0"/>
          <w:divBdr>
            <w:top w:val="none" w:sz="0" w:space="0" w:color="auto"/>
            <w:left w:val="none" w:sz="0" w:space="0" w:color="auto"/>
            <w:bottom w:val="none" w:sz="0" w:space="0" w:color="auto"/>
            <w:right w:val="none" w:sz="0" w:space="0" w:color="auto"/>
          </w:divBdr>
        </w:div>
        <w:div w:id="1998916602">
          <w:marLeft w:val="0"/>
          <w:marRight w:val="0"/>
          <w:marTop w:val="0"/>
          <w:marBottom w:val="0"/>
          <w:divBdr>
            <w:top w:val="none" w:sz="0" w:space="0" w:color="auto"/>
            <w:left w:val="none" w:sz="0" w:space="0" w:color="auto"/>
            <w:bottom w:val="none" w:sz="0" w:space="0" w:color="auto"/>
            <w:right w:val="none" w:sz="0" w:space="0" w:color="auto"/>
          </w:divBdr>
          <w:divsChild>
            <w:div w:id="275406331">
              <w:marLeft w:val="0"/>
              <w:marRight w:val="0"/>
              <w:marTop w:val="0"/>
              <w:marBottom w:val="0"/>
              <w:divBdr>
                <w:top w:val="none" w:sz="0" w:space="0" w:color="auto"/>
                <w:left w:val="none" w:sz="0" w:space="0" w:color="auto"/>
                <w:bottom w:val="none" w:sz="0" w:space="0" w:color="auto"/>
                <w:right w:val="none" w:sz="0" w:space="0" w:color="auto"/>
              </w:divBdr>
              <w:divsChild>
                <w:div w:id="392781682">
                  <w:marLeft w:val="0"/>
                  <w:marRight w:val="0"/>
                  <w:marTop w:val="0"/>
                  <w:marBottom w:val="0"/>
                  <w:divBdr>
                    <w:top w:val="none" w:sz="0" w:space="0" w:color="auto"/>
                    <w:left w:val="none" w:sz="0" w:space="0" w:color="auto"/>
                    <w:bottom w:val="none" w:sz="0" w:space="0" w:color="auto"/>
                    <w:right w:val="none" w:sz="0" w:space="0" w:color="auto"/>
                  </w:divBdr>
                  <w:divsChild>
                    <w:div w:id="932978761">
                      <w:marLeft w:val="0"/>
                      <w:marRight w:val="0"/>
                      <w:marTop w:val="0"/>
                      <w:marBottom w:val="0"/>
                      <w:divBdr>
                        <w:top w:val="none" w:sz="0" w:space="0" w:color="auto"/>
                        <w:left w:val="none" w:sz="0" w:space="0" w:color="auto"/>
                        <w:bottom w:val="none" w:sz="0" w:space="0" w:color="auto"/>
                        <w:right w:val="none" w:sz="0" w:space="0" w:color="auto"/>
                      </w:divBdr>
                    </w:div>
                  </w:divsChild>
                </w:div>
                <w:div w:id="787166185">
                  <w:marLeft w:val="0"/>
                  <w:marRight w:val="0"/>
                  <w:marTop w:val="0"/>
                  <w:marBottom w:val="0"/>
                  <w:divBdr>
                    <w:top w:val="none" w:sz="0" w:space="0" w:color="auto"/>
                    <w:left w:val="none" w:sz="0" w:space="0" w:color="auto"/>
                    <w:bottom w:val="none" w:sz="0" w:space="0" w:color="auto"/>
                    <w:right w:val="none" w:sz="0" w:space="0" w:color="auto"/>
                  </w:divBdr>
                  <w:divsChild>
                    <w:div w:id="1065375831">
                      <w:marLeft w:val="0"/>
                      <w:marRight w:val="0"/>
                      <w:marTop w:val="0"/>
                      <w:marBottom w:val="0"/>
                      <w:divBdr>
                        <w:top w:val="none" w:sz="0" w:space="0" w:color="auto"/>
                        <w:left w:val="none" w:sz="0" w:space="0" w:color="auto"/>
                        <w:bottom w:val="none" w:sz="0" w:space="0" w:color="auto"/>
                        <w:right w:val="none" w:sz="0" w:space="0" w:color="auto"/>
                      </w:divBdr>
                    </w:div>
                  </w:divsChild>
                </w:div>
                <w:div w:id="1966421633">
                  <w:marLeft w:val="0"/>
                  <w:marRight w:val="0"/>
                  <w:marTop w:val="0"/>
                  <w:marBottom w:val="0"/>
                  <w:divBdr>
                    <w:top w:val="none" w:sz="0" w:space="0" w:color="auto"/>
                    <w:left w:val="none" w:sz="0" w:space="0" w:color="auto"/>
                    <w:bottom w:val="none" w:sz="0" w:space="0" w:color="auto"/>
                    <w:right w:val="none" w:sz="0" w:space="0" w:color="auto"/>
                  </w:divBdr>
                  <w:divsChild>
                    <w:div w:id="2150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99115">
          <w:marLeft w:val="0"/>
          <w:marRight w:val="0"/>
          <w:marTop w:val="0"/>
          <w:marBottom w:val="0"/>
          <w:divBdr>
            <w:top w:val="none" w:sz="0" w:space="0" w:color="auto"/>
            <w:left w:val="none" w:sz="0" w:space="0" w:color="auto"/>
            <w:bottom w:val="none" w:sz="0" w:space="0" w:color="auto"/>
            <w:right w:val="none" w:sz="0" w:space="0" w:color="auto"/>
          </w:divBdr>
        </w:div>
        <w:div w:id="2121874365">
          <w:marLeft w:val="0"/>
          <w:marRight w:val="0"/>
          <w:marTop w:val="0"/>
          <w:marBottom w:val="0"/>
          <w:divBdr>
            <w:top w:val="none" w:sz="0" w:space="0" w:color="auto"/>
            <w:left w:val="none" w:sz="0" w:space="0" w:color="auto"/>
            <w:bottom w:val="none" w:sz="0" w:space="0" w:color="auto"/>
            <w:right w:val="none" w:sz="0" w:space="0" w:color="auto"/>
          </w:divBdr>
        </w:div>
        <w:div w:id="1174419364">
          <w:marLeft w:val="0"/>
          <w:marRight w:val="0"/>
          <w:marTop w:val="0"/>
          <w:marBottom w:val="0"/>
          <w:divBdr>
            <w:top w:val="none" w:sz="0" w:space="0" w:color="auto"/>
            <w:left w:val="none" w:sz="0" w:space="0" w:color="auto"/>
            <w:bottom w:val="none" w:sz="0" w:space="0" w:color="auto"/>
            <w:right w:val="none" w:sz="0" w:space="0" w:color="auto"/>
          </w:divBdr>
          <w:divsChild>
            <w:div w:id="837112910">
              <w:marLeft w:val="0"/>
              <w:marRight w:val="0"/>
              <w:marTop w:val="0"/>
              <w:marBottom w:val="0"/>
              <w:divBdr>
                <w:top w:val="none" w:sz="0" w:space="0" w:color="auto"/>
                <w:left w:val="none" w:sz="0" w:space="0" w:color="auto"/>
                <w:bottom w:val="none" w:sz="0" w:space="0" w:color="auto"/>
                <w:right w:val="none" w:sz="0" w:space="0" w:color="auto"/>
              </w:divBdr>
              <w:divsChild>
                <w:div w:id="4527143">
                  <w:marLeft w:val="0"/>
                  <w:marRight w:val="0"/>
                  <w:marTop w:val="0"/>
                  <w:marBottom w:val="0"/>
                  <w:divBdr>
                    <w:top w:val="none" w:sz="0" w:space="0" w:color="auto"/>
                    <w:left w:val="none" w:sz="0" w:space="0" w:color="auto"/>
                    <w:bottom w:val="none" w:sz="0" w:space="0" w:color="auto"/>
                    <w:right w:val="none" w:sz="0" w:space="0" w:color="auto"/>
                  </w:divBdr>
                  <w:divsChild>
                    <w:div w:id="2119526150">
                      <w:marLeft w:val="0"/>
                      <w:marRight w:val="0"/>
                      <w:marTop w:val="0"/>
                      <w:marBottom w:val="0"/>
                      <w:divBdr>
                        <w:top w:val="none" w:sz="0" w:space="0" w:color="auto"/>
                        <w:left w:val="none" w:sz="0" w:space="0" w:color="auto"/>
                        <w:bottom w:val="none" w:sz="0" w:space="0" w:color="auto"/>
                        <w:right w:val="none" w:sz="0" w:space="0" w:color="auto"/>
                      </w:divBdr>
                    </w:div>
                  </w:divsChild>
                </w:div>
                <w:div w:id="1554581956">
                  <w:marLeft w:val="0"/>
                  <w:marRight w:val="0"/>
                  <w:marTop w:val="0"/>
                  <w:marBottom w:val="0"/>
                  <w:divBdr>
                    <w:top w:val="none" w:sz="0" w:space="0" w:color="auto"/>
                    <w:left w:val="none" w:sz="0" w:space="0" w:color="auto"/>
                    <w:bottom w:val="none" w:sz="0" w:space="0" w:color="auto"/>
                    <w:right w:val="none" w:sz="0" w:space="0" w:color="auto"/>
                  </w:divBdr>
                  <w:divsChild>
                    <w:div w:id="428083790">
                      <w:marLeft w:val="0"/>
                      <w:marRight w:val="0"/>
                      <w:marTop w:val="0"/>
                      <w:marBottom w:val="0"/>
                      <w:divBdr>
                        <w:top w:val="none" w:sz="0" w:space="0" w:color="auto"/>
                        <w:left w:val="none" w:sz="0" w:space="0" w:color="auto"/>
                        <w:bottom w:val="none" w:sz="0" w:space="0" w:color="auto"/>
                        <w:right w:val="none" w:sz="0" w:space="0" w:color="auto"/>
                      </w:divBdr>
                    </w:div>
                  </w:divsChild>
                </w:div>
                <w:div w:id="2136824046">
                  <w:marLeft w:val="0"/>
                  <w:marRight w:val="0"/>
                  <w:marTop w:val="0"/>
                  <w:marBottom w:val="0"/>
                  <w:divBdr>
                    <w:top w:val="none" w:sz="0" w:space="0" w:color="auto"/>
                    <w:left w:val="none" w:sz="0" w:space="0" w:color="auto"/>
                    <w:bottom w:val="none" w:sz="0" w:space="0" w:color="auto"/>
                    <w:right w:val="none" w:sz="0" w:space="0" w:color="auto"/>
                  </w:divBdr>
                  <w:divsChild>
                    <w:div w:id="6442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3208">
          <w:marLeft w:val="0"/>
          <w:marRight w:val="0"/>
          <w:marTop w:val="0"/>
          <w:marBottom w:val="0"/>
          <w:divBdr>
            <w:top w:val="none" w:sz="0" w:space="0" w:color="auto"/>
            <w:left w:val="none" w:sz="0" w:space="0" w:color="auto"/>
            <w:bottom w:val="none" w:sz="0" w:space="0" w:color="auto"/>
            <w:right w:val="none" w:sz="0" w:space="0" w:color="auto"/>
          </w:divBdr>
        </w:div>
      </w:divsChild>
    </w:div>
    <w:div w:id="405348374">
      <w:bodyDiv w:val="1"/>
      <w:marLeft w:val="0"/>
      <w:marRight w:val="0"/>
      <w:marTop w:val="0"/>
      <w:marBottom w:val="0"/>
      <w:divBdr>
        <w:top w:val="none" w:sz="0" w:space="0" w:color="auto"/>
        <w:left w:val="none" w:sz="0" w:space="0" w:color="auto"/>
        <w:bottom w:val="none" w:sz="0" w:space="0" w:color="auto"/>
        <w:right w:val="none" w:sz="0" w:space="0" w:color="auto"/>
      </w:divBdr>
    </w:div>
    <w:div w:id="465127695">
      <w:bodyDiv w:val="1"/>
      <w:marLeft w:val="0"/>
      <w:marRight w:val="0"/>
      <w:marTop w:val="0"/>
      <w:marBottom w:val="0"/>
      <w:divBdr>
        <w:top w:val="none" w:sz="0" w:space="0" w:color="auto"/>
        <w:left w:val="none" w:sz="0" w:space="0" w:color="auto"/>
        <w:bottom w:val="none" w:sz="0" w:space="0" w:color="auto"/>
        <w:right w:val="none" w:sz="0" w:space="0" w:color="auto"/>
      </w:divBdr>
    </w:div>
    <w:div w:id="548032314">
      <w:bodyDiv w:val="1"/>
      <w:marLeft w:val="0"/>
      <w:marRight w:val="0"/>
      <w:marTop w:val="0"/>
      <w:marBottom w:val="0"/>
      <w:divBdr>
        <w:top w:val="none" w:sz="0" w:space="0" w:color="auto"/>
        <w:left w:val="none" w:sz="0" w:space="0" w:color="auto"/>
        <w:bottom w:val="none" w:sz="0" w:space="0" w:color="auto"/>
        <w:right w:val="none" w:sz="0" w:space="0" w:color="auto"/>
      </w:divBdr>
    </w:div>
    <w:div w:id="554854889">
      <w:bodyDiv w:val="1"/>
      <w:marLeft w:val="0"/>
      <w:marRight w:val="0"/>
      <w:marTop w:val="0"/>
      <w:marBottom w:val="0"/>
      <w:divBdr>
        <w:top w:val="none" w:sz="0" w:space="0" w:color="auto"/>
        <w:left w:val="none" w:sz="0" w:space="0" w:color="auto"/>
        <w:bottom w:val="none" w:sz="0" w:space="0" w:color="auto"/>
        <w:right w:val="none" w:sz="0" w:space="0" w:color="auto"/>
      </w:divBdr>
    </w:div>
    <w:div w:id="585385923">
      <w:bodyDiv w:val="1"/>
      <w:marLeft w:val="0"/>
      <w:marRight w:val="0"/>
      <w:marTop w:val="0"/>
      <w:marBottom w:val="0"/>
      <w:divBdr>
        <w:top w:val="none" w:sz="0" w:space="0" w:color="auto"/>
        <w:left w:val="none" w:sz="0" w:space="0" w:color="auto"/>
        <w:bottom w:val="none" w:sz="0" w:space="0" w:color="auto"/>
        <w:right w:val="none" w:sz="0" w:space="0" w:color="auto"/>
      </w:divBdr>
    </w:div>
    <w:div w:id="595141430">
      <w:bodyDiv w:val="1"/>
      <w:marLeft w:val="0"/>
      <w:marRight w:val="0"/>
      <w:marTop w:val="0"/>
      <w:marBottom w:val="0"/>
      <w:divBdr>
        <w:top w:val="none" w:sz="0" w:space="0" w:color="auto"/>
        <w:left w:val="none" w:sz="0" w:space="0" w:color="auto"/>
        <w:bottom w:val="none" w:sz="0" w:space="0" w:color="auto"/>
        <w:right w:val="none" w:sz="0" w:space="0" w:color="auto"/>
      </w:divBdr>
    </w:div>
    <w:div w:id="639698373">
      <w:bodyDiv w:val="1"/>
      <w:marLeft w:val="0"/>
      <w:marRight w:val="0"/>
      <w:marTop w:val="0"/>
      <w:marBottom w:val="0"/>
      <w:divBdr>
        <w:top w:val="none" w:sz="0" w:space="0" w:color="auto"/>
        <w:left w:val="none" w:sz="0" w:space="0" w:color="auto"/>
        <w:bottom w:val="none" w:sz="0" w:space="0" w:color="auto"/>
        <w:right w:val="none" w:sz="0" w:space="0" w:color="auto"/>
      </w:divBdr>
    </w:div>
    <w:div w:id="680208444">
      <w:bodyDiv w:val="1"/>
      <w:marLeft w:val="0"/>
      <w:marRight w:val="0"/>
      <w:marTop w:val="0"/>
      <w:marBottom w:val="0"/>
      <w:divBdr>
        <w:top w:val="none" w:sz="0" w:space="0" w:color="auto"/>
        <w:left w:val="none" w:sz="0" w:space="0" w:color="auto"/>
        <w:bottom w:val="none" w:sz="0" w:space="0" w:color="auto"/>
        <w:right w:val="none" w:sz="0" w:space="0" w:color="auto"/>
      </w:divBdr>
    </w:div>
    <w:div w:id="712314364">
      <w:bodyDiv w:val="1"/>
      <w:marLeft w:val="0"/>
      <w:marRight w:val="0"/>
      <w:marTop w:val="0"/>
      <w:marBottom w:val="0"/>
      <w:divBdr>
        <w:top w:val="none" w:sz="0" w:space="0" w:color="auto"/>
        <w:left w:val="none" w:sz="0" w:space="0" w:color="auto"/>
        <w:bottom w:val="none" w:sz="0" w:space="0" w:color="auto"/>
        <w:right w:val="none" w:sz="0" w:space="0" w:color="auto"/>
      </w:divBdr>
    </w:div>
    <w:div w:id="726073896">
      <w:bodyDiv w:val="1"/>
      <w:marLeft w:val="0"/>
      <w:marRight w:val="0"/>
      <w:marTop w:val="0"/>
      <w:marBottom w:val="0"/>
      <w:divBdr>
        <w:top w:val="none" w:sz="0" w:space="0" w:color="auto"/>
        <w:left w:val="none" w:sz="0" w:space="0" w:color="auto"/>
        <w:bottom w:val="none" w:sz="0" w:space="0" w:color="auto"/>
        <w:right w:val="none" w:sz="0" w:space="0" w:color="auto"/>
      </w:divBdr>
    </w:div>
    <w:div w:id="740178874">
      <w:bodyDiv w:val="1"/>
      <w:marLeft w:val="0"/>
      <w:marRight w:val="0"/>
      <w:marTop w:val="0"/>
      <w:marBottom w:val="0"/>
      <w:divBdr>
        <w:top w:val="none" w:sz="0" w:space="0" w:color="auto"/>
        <w:left w:val="none" w:sz="0" w:space="0" w:color="auto"/>
        <w:bottom w:val="none" w:sz="0" w:space="0" w:color="auto"/>
        <w:right w:val="none" w:sz="0" w:space="0" w:color="auto"/>
      </w:divBdr>
    </w:div>
    <w:div w:id="836724604">
      <w:bodyDiv w:val="1"/>
      <w:marLeft w:val="0"/>
      <w:marRight w:val="0"/>
      <w:marTop w:val="0"/>
      <w:marBottom w:val="0"/>
      <w:divBdr>
        <w:top w:val="none" w:sz="0" w:space="0" w:color="auto"/>
        <w:left w:val="none" w:sz="0" w:space="0" w:color="auto"/>
        <w:bottom w:val="none" w:sz="0" w:space="0" w:color="auto"/>
        <w:right w:val="none" w:sz="0" w:space="0" w:color="auto"/>
      </w:divBdr>
    </w:div>
    <w:div w:id="858203361">
      <w:bodyDiv w:val="1"/>
      <w:marLeft w:val="0"/>
      <w:marRight w:val="0"/>
      <w:marTop w:val="0"/>
      <w:marBottom w:val="0"/>
      <w:divBdr>
        <w:top w:val="none" w:sz="0" w:space="0" w:color="auto"/>
        <w:left w:val="none" w:sz="0" w:space="0" w:color="auto"/>
        <w:bottom w:val="none" w:sz="0" w:space="0" w:color="auto"/>
        <w:right w:val="none" w:sz="0" w:space="0" w:color="auto"/>
      </w:divBdr>
    </w:div>
    <w:div w:id="877162980">
      <w:bodyDiv w:val="1"/>
      <w:marLeft w:val="0"/>
      <w:marRight w:val="0"/>
      <w:marTop w:val="0"/>
      <w:marBottom w:val="0"/>
      <w:divBdr>
        <w:top w:val="none" w:sz="0" w:space="0" w:color="auto"/>
        <w:left w:val="none" w:sz="0" w:space="0" w:color="auto"/>
        <w:bottom w:val="none" w:sz="0" w:space="0" w:color="auto"/>
        <w:right w:val="none" w:sz="0" w:space="0" w:color="auto"/>
      </w:divBdr>
    </w:div>
    <w:div w:id="897518941">
      <w:bodyDiv w:val="1"/>
      <w:marLeft w:val="0"/>
      <w:marRight w:val="0"/>
      <w:marTop w:val="0"/>
      <w:marBottom w:val="0"/>
      <w:divBdr>
        <w:top w:val="none" w:sz="0" w:space="0" w:color="auto"/>
        <w:left w:val="none" w:sz="0" w:space="0" w:color="auto"/>
        <w:bottom w:val="none" w:sz="0" w:space="0" w:color="auto"/>
        <w:right w:val="none" w:sz="0" w:space="0" w:color="auto"/>
      </w:divBdr>
    </w:div>
    <w:div w:id="953437360">
      <w:bodyDiv w:val="1"/>
      <w:marLeft w:val="0"/>
      <w:marRight w:val="0"/>
      <w:marTop w:val="0"/>
      <w:marBottom w:val="0"/>
      <w:divBdr>
        <w:top w:val="none" w:sz="0" w:space="0" w:color="auto"/>
        <w:left w:val="none" w:sz="0" w:space="0" w:color="auto"/>
        <w:bottom w:val="none" w:sz="0" w:space="0" w:color="auto"/>
        <w:right w:val="none" w:sz="0" w:space="0" w:color="auto"/>
      </w:divBdr>
    </w:div>
    <w:div w:id="978876113">
      <w:bodyDiv w:val="1"/>
      <w:marLeft w:val="0"/>
      <w:marRight w:val="0"/>
      <w:marTop w:val="0"/>
      <w:marBottom w:val="0"/>
      <w:divBdr>
        <w:top w:val="none" w:sz="0" w:space="0" w:color="auto"/>
        <w:left w:val="none" w:sz="0" w:space="0" w:color="auto"/>
        <w:bottom w:val="none" w:sz="0" w:space="0" w:color="auto"/>
        <w:right w:val="none" w:sz="0" w:space="0" w:color="auto"/>
      </w:divBdr>
    </w:div>
    <w:div w:id="1011372333">
      <w:bodyDiv w:val="1"/>
      <w:marLeft w:val="0"/>
      <w:marRight w:val="0"/>
      <w:marTop w:val="0"/>
      <w:marBottom w:val="0"/>
      <w:divBdr>
        <w:top w:val="none" w:sz="0" w:space="0" w:color="auto"/>
        <w:left w:val="none" w:sz="0" w:space="0" w:color="auto"/>
        <w:bottom w:val="none" w:sz="0" w:space="0" w:color="auto"/>
        <w:right w:val="none" w:sz="0" w:space="0" w:color="auto"/>
      </w:divBdr>
    </w:div>
    <w:div w:id="1016881714">
      <w:bodyDiv w:val="1"/>
      <w:marLeft w:val="0"/>
      <w:marRight w:val="0"/>
      <w:marTop w:val="0"/>
      <w:marBottom w:val="0"/>
      <w:divBdr>
        <w:top w:val="none" w:sz="0" w:space="0" w:color="auto"/>
        <w:left w:val="none" w:sz="0" w:space="0" w:color="auto"/>
        <w:bottom w:val="none" w:sz="0" w:space="0" w:color="auto"/>
        <w:right w:val="none" w:sz="0" w:space="0" w:color="auto"/>
      </w:divBdr>
    </w:div>
    <w:div w:id="1024012639">
      <w:bodyDiv w:val="1"/>
      <w:marLeft w:val="0"/>
      <w:marRight w:val="0"/>
      <w:marTop w:val="0"/>
      <w:marBottom w:val="0"/>
      <w:divBdr>
        <w:top w:val="none" w:sz="0" w:space="0" w:color="auto"/>
        <w:left w:val="none" w:sz="0" w:space="0" w:color="auto"/>
        <w:bottom w:val="none" w:sz="0" w:space="0" w:color="auto"/>
        <w:right w:val="none" w:sz="0" w:space="0" w:color="auto"/>
      </w:divBdr>
    </w:div>
    <w:div w:id="1309244984">
      <w:bodyDiv w:val="1"/>
      <w:marLeft w:val="0"/>
      <w:marRight w:val="0"/>
      <w:marTop w:val="0"/>
      <w:marBottom w:val="0"/>
      <w:divBdr>
        <w:top w:val="none" w:sz="0" w:space="0" w:color="auto"/>
        <w:left w:val="none" w:sz="0" w:space="0" w:color="auto"/>
        <w:bottom w:val="none" w:sz="0" w:space="0" w:color="auto"/>
        <w:right w:val="none" w:sz="0" w:space="0" w:color="auto"/>
      </w:divBdr>
    </w:div>
    <w:div w:id="1322387465">
      <w:bodyDiv w:val="1"/>
      <w:marLeft w:val="0"/>
      <w:marRight w:val="0"/>
      <w:marTop w:val="0"/>
      <w:marBottom w:val="0"/>
      <w:divBdr>
        <w:top w:val="none" w:sz="0" w:space="0" w:color="auto"/>
        <w:left w:val="none" w:sz="0" w:space="0" w:color="auto"/>
        <w:bottom w:val="none" w:sz="0" w:space="0" w:color="auto"/>
        <w:right w:val="none" w:sz="0" w:space="0" w:color="auto"/>
      </w:divBdr>
      <w:divsChild>
        <w:div w:id="1924993559">
          <w:marLeft w:val="0"/>
          <w:marRight w:val="0"/>
          <w:marTop w:val="0"/>
          <w:marBottom w:val="0"/>
          <w:divBdr>
            <w:top w:val="none" w:sz="0" w:space="0" w:color="auto"/>
            <w:left w:val="none" w:sz="0" w:space="0" w:color="auto"/>
            <w:bottom w:val="none" w:sz="0" w:space="0" w:color="auto"/>
            <w:right w:val="none" w:sz="0" w:space="0" w:color="auto"/>
          </w:divBdr>
        </w:div>
      </w:divsChild>
    </w:div>
    <w:div w:id="1402168337">
      <w:bodyDiv w:val="1"/>
      <w:marLeft w:val="0"/>
      <w:marRight w:val="0"/>
      <w:marTop w:val="0"/>
      <w:marBottom w:val="0"/>
      <w:divBdr>
        <w:top w:val="none" w:sz="0" w:space="0" w:color="auto"/>
        <w:left w:val="none" w:sz="0" w:space="0" w:color="auto"/>
        <w:bottom w:val="none" w:sz="0" w:space="0" w:color="auto"/>
        <w:right w:val="none" w:sz="0" w:space="0" w:color="auto"/>
      </w:divBdr>
      <w:divsChild>
        <w:div w:id="996570393">
          <w:marLeft w:val="0"/>
          <w:marRight w:val="0"/>
          <w:marTop w:val="0"/>
          <w:marBottom w:val="0"/>
          <w:divBdr>
            <w:top w:val="none" w:sz="0" w:space="0" w:color="auto"/>
            <w:left w:val="none" w:sz="0" w:space="0" w:color="auto"/>
            <w:bottom w:val="none" w:sz="0" w:space="0" w:color="auto"/>
            <w:right w:val="none" w:sz="0" w:space="0" w:color="auto"/>
          </w:divBdr>
        </w:div>
        <w:div w:id="2050762831">
          <w:marLeft w:val="0"/>
          <w:marRight w:val="0"/>
          <w:marTop w:val="0"/>
          <w:marBottom w:val="0"/>
          <w:divBdr>
            <w:top w:val="none" w:sz="0" w:space="0" w:color="auto"/>
            <w:left w:val="none" w:sz="0" w:space="0" w:color="auto"/>
            <w:bottom w:val="none" w:sz="0" w:space="0" w:color="auto"/>
            <w:right w:val="none" w:sz="0" w:space="0" w:color="auto"/>
          </w:divBdr>
        </w:div>
        <w:div w:id="153185954">
          <w:marLeft w:val="0"/>
          <w:marRight w:val="0"/>
          <w:marTop w:val="0"/>
          <w:marBottom w:val="0"/>
          <w:divBdr>
            <w:top w:val="none" w:sz="0" w:space="0" w:color="auto"/>
            <w:left w:val="none" w:sz="0" w:space="0" w:color="auto"/>
            <w:bottom w:val="none" w:sz="0" w:space="0" w:color="auto"/>
            <w:right w:val="none" w:sz="0" w:space="0" w:color="auto"/>
          </w:divBdr>
          <w:divsChild>
            <w:div w:id="557402851">
              <w:marLeft w:val="0"/>
              <w:marRight w:val="0"/>
              <w:marTop w:val="0"/>
              <w:marBottom w:val="0"/>
              <w:divBdr>
                <w:top w:val="none" w:sz="0" w:space="0" w:color="auto"/>
                <w:left w:val="none" w:sz="0" w:space="0" w:color="auto"/>
                <w:bottom w:val="none" w:sz="0" w:space="0" w:color="auto"/>
                <w:right w:val="none" w:sz="0" w:space="0" w:color="auto"/>
              </w:divBdr>
              <w:divsChild>
                <w:div w:id="302274818">
                  <w:marLeft w:val="0"/>
                  <w:marRight w:val="0"/>
                  <w:marTop w:val="0"/>
                  <w:marBottom w:val="0"/>
                  <w:divBdr>
                    <w:top w:val="none" w:sz="0" w:space="0" w:color="auto"/>
                    <w:left w:val="none" w:sz="0" w:space="0" w:color="auto"/>
                    <w:bottom w:val="none" w:sz="0" w:space="0" w:color="auto"/>
                    <w:right w:val="none" w:sz="0" w:space="0" w:color="auto"/>
                  </w:divBdr>
                  <w:divsChild>
                    <w:div w:id="1178927815">
                      <w:marLeft w:val="0"/>
                      <w:marRight w:val="0"/>
                      <w:marTop w:val="0"/>
                      <w:marBottom w:val="0"/>
                      <w:divBdr>
                        <w:top w:val="none" w:sz="0" w:space="0" w:color="auto"/>
                        <w:left w:val="none" w:sz="0" w:space="0" w:color="auto"/>
                        <w:bottom w:val="none" w:sz="0" w:space="0" w:color="auto"/>
                        <w:right w:val="none" w:sz="0" w:space="0" w:color="auto"/>
                      </w:divBdr>
                    </w:div>
                  </w:divsChild>
                </w:div>
                <w:div w:id="1522744244">
                  <w:marLeft w:val="0"/>
                  <w:marRight w:val="0"/>
                  <w:marTop w:val="0"/>
                  <w:marBottom w:val="0"/>
                  <w:divBdr>
                    <w:top w:val="none" w:sz="0" w:space="0" w:color="auto"/>
                    <w:left w:val="none" w:sz="0" w:space="0" w:color="auto"/>
                    <w:bottom w:val="none" w:sz="0" w:space="0" w:color="auto"/>
                    <w:right w:val="none" w:sz="0" w:space="0" w:color="auto"/>
                  </w:divBdr>
                  <w:divsChild>
                    <w:div w:id="1248031521">
                      <w:marLeft w:val="0"/>
                      <w:marRight w:val="0"/>
                      <w:marTop w:val="0"/>
                      <w:marBottom w:val="0"/>
                      <w:divBdr>
                        <w:top w:val="none" w:sz="0" w:space="0" w:color="auto"/>
                        <w:left w:val="none" w:sz="0" w:space="0" w:color="auto"/>
                        <w:bottom w:val="none" w:sz="0" w:space="0" w:color="auto"/>
                        <w:right w:val="none" w:sz="0" w:space="0" w:color="auto"/>
                      </w:divBdr>
                    </w:div>
                  </w:divsChild>
                </w:div>
                <w:div w:id="1962105820">
                  <w:marLeft w:val="0"/>
                  <w:marRight w:val="0"/>
                  <w:marTop w:val="0"/>
                  <w:marBottom w:val="0"/>
                  <w:divBdr>
                    <w:top w:val="none" w:sz="0" w:space="0" w:color="auto"/>
                    <w:left w:val="none" w:sz="0" w:space="0" w:color="auto"/>
                    <w:bottom w:val="none" w:sz="0" w:space="0" w:color="auto"/>
                    <w:right w:val="none" w:sz="0" w:space="0" w:color="auto"/>
                  </w:divBdr>
                  <w:divsChild>
                    <w:div w:id="2127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5584">
          <w:marLeft w:val="0"/>
          <w:marRight w:val="0"/>
          <w:marTop w:val="0"/>
          <w:marBottom w:val="0"/>
          <w:divBdr>
            <w:top w:val="none" w:sz="0" w:space="0" w:color="auto"/>
            <w:left w:val="none" w:sz="0" w:space="0" w:color="auto"/>
            <w:bottom w:val="none" w:sz="0" w:space="0" w:color="auto"/>
            <w:right w:val="none" w:sz="0" w:space="0" w:color="auto"/>
          </w:divBdr>
        </w:div>
        <w:div w:id="1164659133">
          <w:marLeft w:val="0"/>
          <w:marRight w:val="0"/>
          <w:marTop w:val="0"/>
          <w:marBottom w:val="0"/>
          <w:divBdr>
            <w:top w:val="none" w:sz="0" w:space="0" w:color="auto"/>
            <w:left w:val="none" w:sz="0" w:space="0" w:color="auto"/>
            <w:bottom w:val="none" w:sz="0" w:space="0" w:color="auto"/>
            <w:right w:val="none" w:sz="0" w:space="0" w:color="auto"/>
          </w:divBdr>
        </w:div>
        <w:div w:id="1374189639">
          <w:marLeft w:val="0"/>
          <w:marRight w:val="0"/>
          <w:marTop w:val="0"/>
          <w:marBottom w:val="0"/>
          <w:divBdr>
            <w:top w:val="none" w:sz="0" w:space="0" w:color="auto"/>
            <w:left w:val="none" w:sz="0" w:space="0" w:color="auto"/>
            <w:bottom w:val="none" w:sz="0" w:space="0" w:color="auto"/>
            <w:right w:val="none" w:sz="0" w:space="0" w:color="auto"/>
          </w:divBdr>
          <w:divsChild>
            <w:div w:id="438764543">
              <w:marLeft w:val="0"/>
              <w:marRight w:val="0"/>
              <w:marTop w:val="0"/>
              <w:marBottom w:val="0"/>
              <w:divBdr>
                <w:top w:val="none" w:sz="0" w:space="0" w:color="auto"/>
                <w:left w:val="none" w:sz="0" w:space="0" w:color="auto"/>
                <w:bottom w:val="none" w:sz="0" w:space="0" w:color="auto"/>
                <w:right w:val="none" w:sz="0" w:space="0" w:color="auto"/>
              </w:divBdr>
              <w:divsChild>
                <w:div w:id="762840126">
                  <w:marLeft w:val="0"/>
                  <w:marRight w:val="0"/>
                  <w:marTop w:val="0"/>
                  <w:marBottom w:val="0"/>
                  <w:divBdr>
                    <w:top w:val="none" w:sz="0" w:space="0" w:color="auto"/>
                    <w:left w:val="none" w:sz="0" w:space="0" w:color="auto"/>
                    <w:bottom w:val="none" w:sz="0" w:space="0" w:color="auto"/>
                    <w:right w:val="none" w:sz="0" w:space="0" w:color="auto"/>
                  </w:divBdr>
                  <w:divsChild>
                    <w:div w:id="1097864918">
                      <w:marLeft w:val="0"/>
                      <w:marRight w:val="0"/>
                      <w:marTop w:val="0"/>
                      <w:marBottom w:val="0"/>
                      <w:divBdr>
                        <w:top w:val="none" w:sz="0" w:space="0" w:color="auto"/>
                        <w:left w:val="none" w:sz="0" w:space="0" w:color="auto"/>
                        <w:bottom w:val="none" w:sz="0" w:space="0" w:color="auto"/>
                        <w:right w:val="none" w:sz="0" w:space="0" w:color="auto"/>
                      </w:divBdr>
                    </w:div>
                  </w:divsChild>
                </w:div>
                <w:div w:id="1973435258">
                  <w:marLeft w:val="0"/>
                  <w:marRight w:val="0"/>
                  <w:marTop w:val="0"/>
                  <w:marBottom w:val="0"/>
                  <w:divBdr>
                    <w:top w:val="none" w:sz="0" w:space="0" w:color="auto"/>
                    <w:left w:val="none" w:sz="0" w:space="0" w:color="auto"/>
                    <w:bottom w:val="none" w:sz="0" w:space="0" w:color="auto"/>
                    <w:right w:val="none" w:sz="0" w:space="0" w:color="auto"/>
                  </w:divBdr>
                  <w:divsChild>
                    <w:div w:id="1505587214">
                      <w:marLeft w:val="0"/>
                      <w:marRight w:val="0"/>
                      <w:marTop w:val="0"/>
                      <w:marBottom w:val="0"/>
                      <w:divBdr>
                        <w:top w:val="none" w:sz="0" w:space="0" w:color="auto"/>
                        <w:left w:val="none" w:sz="0" w:space="0" w:color="auto"/>
                        <w:bottom w:val="none" w:sz="0" w:space="0" w:color="auto"/>
                        <w:right w:val="none" w:sz="0" w:space="0" w:color="auto"/>
                      </w:divBdr>
                    </w:div>
                  </w:divsChild>
                </w:div>
                <w:div w:id="282158952">
                  <w:marLeft w:val="0"/>
                  <w:marRight w:val="0"/>
                  <w:marTop w:val="0"/>
                  <w:marBottom w:val="0"/>
                  <w:divBdr>
                    <w:top w:val="none" w:sz="0" w:space="0" w:color="auto"/>
                    <w:left w:val="none" w:sz="0" w:space="0" w:color="auto"/>
                    <w:bottom w:val="none" w:sz="0" w:space="0" w:color="auto"/>
                    <w:right w:val="none" w:sz="0" w:space="0" w:color="auto"/>
                  </w:divBdr>
                  <w:divsChild>
                    <w:div w:id="12398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2027">
          <w:marLeft w:val="0"/>
          <w:marRight w:val="0"/>
          <w:marTop w:val="0"/>
          <w:marBottom w:val="0"/>
          <w:divBdr>
            <w:top w:val="none" w:sz="0" w:space="0" w:color="auto"/>
            <w:left w:val="none" w:sz="0" w:space="0" w:color="auto"/>
            <w:bottom w:val="none" w:sz="0" w:space="0" w:color="auto"/>
            <w:right w:val="none" w:sz="0" w:space="0" w:color="auto"/>
          </w:divBdr>
        </w:div>
        <w:div w:id="1354963619">
          <w:marLeft w:val="0"/>
          <w:marRight w:val="0"/>
          <w:marTop w:val="0"/>
          <w:marBottom w:val="0"/>
          <w:divBdr>
            <w:top w:val="none" w:sz="0" w:space="0" w:color="auto"/>
            <w:left w:val="none" w:sz="0" w:space="0" w:color="auto"/>
            <w:bottom w:val="none" w:sz="0" w:space="0" w:color="auto"/>
            <w:right w:val="none" w:sz="0" w:space="0" w:color="auto"/>
          </w:divBdr>
        </w:div>
        <w:div w:id="1107774380">
          <w:marLeft w:val="0"/>
          <w:marRight w:val="0"/>
          <w:marTop w:val="0"/>
          <w:marBottom w:val="0"/>
          <w:divBdr>
            <w:top w:val="none" w:sz="0" w:space="0" w:color="auto"/>
            <w:left w:val="none" w:sz="0" w:space="0" w:color="auto"/>
            <w:bottom w:val="none" w:sz="0" w:space="0" w:color="auto"/>
            <w:right w:val="none" w:sz="0" w:space="0" w:color="auto"/>
          </w:divBdr>
          <w:divsChild>
            <w:div w:id="454953669">
              <w:marLeft w:val="0"/>
              <w:marRight w:val="0"/>
              <w:marTop w:val="0"/>
              <w:marBottom w:val="0"/>
              <w:divBdr>
                <w:top w:val="none" w:sz="0" w:space="0" w:color="auto"/>
                <w:left w:val="none" w:sz="0" w:space="0" w:color="auto"/>
                <w:bottom w:val="none" w:sz="0" w:space="0" w:color="auto"/>
                <w:right w:val="none" w:sz="0" w:space="0" w:color="auto"/>
              </w:divBdr>
              <w:divsChild>
                <w:div w:id="1612783347">
                  <w:marLeft w:val="0"/>
                  <w:marRight w:val="0"/>
                  <w:marTop w:val="0"/>
                  <w:marBottom w:val="0"/>
                  <w:divBdr>
                    <w:top w:val="none" w:sz="0" w:space="0" w:color="auto"/>
                    <w:left w:val="none" w:sz="0" w:space="0" w:color="auto"/>
                    <w:bottom w:val="none" w:sz="0" w:space="0" w:color="auto"/>
                    <w:right w:val="none" w:sz="0" w:space="0" w:color="auto"/>
                  </w:divBdr>
                  <w:divsChild>
                    <w:div w:id="1882398705">
                      <w:marLeft w:val="0"/>
                      <w:marRight w:val="0"/>
                      <w:marTop w:val="0"/>
                      <w:marBottom w:val="0"/>
                      <w:divBdr>
                        <w:top w:val="none" w:sz="0" w:space="0" w:color="auto"/>
                        <w:left w:val="none" w:sz="0" w:space="0" w:color="auto"/>
                        <w:bottom w:val="none" w:sz="0" w:space="0" w:color="auto"/>
                        <w:right w:val="none" w:sz="0" w:space="0" w:color="auto"/>
                      </w:divBdr>
                    </w:div>
                  </w:divsChild>
                </w:div>
                <w:div w:id="454910624">
                  <w:marLeft w:val="0"/>
                  <w:marRight w:val="0"/>
                  <w:marTop w:val="0"/>
                  <w:marBottom w:val="0"/>
                  <w:divBdr>
                    <w:top w:val="none" w:sz="0" w:space="0" w:color="auto"/>
                    <w:left w:val="none" w:sz="0" w:space="0" w:color="auto"/>
                    <w:bottom w:val="none" w:sz="0" w:space="0" w:color="auto"/>
                    <w:right w:val="none" w:sz="0" w:space="0" w:color="auto"/>
                  </w:divBdr>
                  <w:divsChild>
                    <w:div w:id="1667050053">
                      <w:marLeft w:val="0"/>
                      <w:marRight w:val="0"/>
                      <w:marTop w:val="0"/>
                      <w:marBottom w:val="0"/>
                      <w:divBdr>
                        <w:top w:val="none" w:sz="0" w:space="0" w:color="auto"/>
                        <w:left w:val="none" w:sz="0" w:space="0" w:color="auto"/>
                        <w:bottom w:val="none" w:sz="0" w:space="0" w:color="auto"/>
                        <w:right w:val="none" w:sz="0" w:space="0" w:color="auto"/>
                      </w:divBdr>
                    </w:div>
                  </w:divsChild>
                </w:div>
                <w:div w:id="2015960127">
                  <w:marLeft w:val="0"/>
                  <w:marRight w:val="0"/>
                  <w:marTop w:val="0"/>
                  <w:marBottom w:val="0"/>
                  <w:divBdr>
                    <w:top w:val="none" w:sz="0" w:space="0" w:color="auto"/>
                    <w:left w:val="none" w:sz="0" w:space="0" w:color="auto"/>
                    <w:bottom w:val="none" w:sz="0" w:space="0" w:color="auto"/>
                    <w:right w:val="none" w:sz="0" w:space="0" w:color="auto"/>
                  </w:divBdr>
                  <w:divsChild>
                    <w:div w:id="9635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8631">
          <w:marLeft w:val="0"/>
          <w:marRight w:val="0"/>
          <w:marTop w:val="0"/>
          <w:marBottom w:val="0"/>
          <w:divBdr>
            <w:top w:val="none" w:sz="0" w:space="0" w:color="auto"/>
            <w:left w:val="none" w:sz="0" w:space="0" w:color="auto"/>
            <w:bottom w:val="none" w:sz="0" w:space="0" w:color="auto"/>
            <w:right w:val="none" w:sz="0" w:space="0" w:color="auto"/>
          </w:divBdr>
        </w:div>
      </w:divsChild>
    </w:div>
    <w:div w:id="1421371053">
      <w:bodyDiv w:val="1"/>
      <w:marLeft w:val="0"/>
      <w:marRight w:val="0"/>
      <w:marTop w:val="0"/>
      <w:marBottom w:val="0"/>
      <w:divBdr>
        <w:top w:val="none" w:sz="0" w:space="0" w:color="auto"/>
        <w:left w:val="none" w:sz="0" w:space="0" w:color="auto"/>
        <w:bottom w:val="none" w:sz="0" w:space="0" w:color="auto"/>
        <w:right w:val="none" w:sz="0" w:space="0" w:color="auto"/>
      </w:divBdr>
      <w:divsChild>
        <w:div w:id="1054934312">
          <w:marLeft w:val="0"/>
          <w:marRight w:val="0"/>
          <w:marTop w:val="0"/>
          <w:marBottom w:val="0"/>
          <w:divBdr>
            <w:top w:val="none" w:sz="0" w:space="0" w:color="auto"/>
            <w:left w:val="none" w:sz="0" w:space="0" w:color="auto"/>
            <w:bottom w:val="none" w:sz="0" w:space="0" w:color="auto"/>
            <w:right w:val="none" w:sz="0" w:space="0" w:color="auto"/>
          </w:divBdr>
        </w:div>
      </w:divsChild>
    </w:div>
    <w:div w:id="1483041077">
      <w:bodyDiv w:val="1"/>
      <w:marLeft w:val="0"/>
      <w:marRight w:val="0"/>
      <w:marTop w:val="0"/>
      <w:marBottom w:val="0"/>
      <w:divBdr>
        <w:top w:val="none" w:sz="0" w:space="0" w:color="auto"/>
        <w:left w:val="none" w:sz="0" w:space="0" w:color="auto"/>
        <w:bottom w:val="none" w:sz="0" w:space="0" w:color="auto"/>
        <w:right w:val="none" w:sz="0" w:space="0" w:color="auto"/>
      </w:divBdr>
    </w:div>
    <w:div w:id="1567447601">
      <w:bodyDiv w:val="1"/>
      <w:marLeft w:val="0"/>
      <w:marRight w:val="0"/>
      <w:marTop w:val="0"/>
      <w:marBottom w:val="0"/>
      <w:divBdr>
        <w:top w:val="none" w:sz="0" w:space="0" w:color="auto"/>
        <w:left w:val="none" w:sz="0" w:space="0" w:color="auto"/>
        <w:bottom w:val="none" w:sz="0" w:space="0" w:color="auto"/>
        <w:right w:val="none" w:sz="0" w:space="0" w:color="auto"/>
      </w:divBdr>
    </w:div>
    <w:div w:id="1574044708">
      <w:bodyDiv w:val="1"/>
      <w:marLeft w:val="0"/>
      <w:marRight w:val="0"/>
      <w:marTop w:val="0"/>
      <w:marBottom w:val="0"/>
      <w:divBdr>
        <w:top w:val="none" w:sz="0" w:space="0" w:color="auto"/>
        <w:left w:val="none" w:sz="0" w:space="0" w:color="auto"/>
        <w:bottom w:val="none" w:sz="0" w:space="0" w:color="auto"/>
        <w:right w:val="none" w:sz="0" w:space="0" w:color="auto"/>
      </w:divBdr>
    </w:div>
    <w:div w:id="1579708371">
      <w:bodyDiv w:val="1"/>
      <w:marLeft w:val="0"/>
      <w:marRight w:val="0"/>
      <w:marTop w:val="0"/>
      <w:marBottom w:val="0"/>
      <w:divBdr>
        <w:top w:val="none" w:sz="0" w:space="0" w:color="auto"/>
        <w:left w:val="none" w:sz="0" w:space="0" w:color="auto"/>
        <w:bottom w:val="none" w:sz="0" w:space="0" w:color="auto"/>
        <w:right w:val="none" w:sz="0" w:space="0" w:color="auto"/>
      </w:divBdr>
    </w:div>
    <w:div w:id="1757509422">
      <w:bodyDiv w:val="1"/>
      <w:marLeft w:val="0"/>
      <w:marRight w:val="0"/>
      <w:marTop w:val="0"/>
      <w:marBottom w:val="0"/>
      <w:divBdr>
        <w:top w:val="none" w:sz="0" w:space="0" w:color="auto"/>
        <w:left w:val="none" w:sz="0" w:space="0" w:color="auto"/>
        <w:bottom w:val="none" w:sz="0" w:space="0" w:color="auto"/>
        <w:right w:val="none" w:sz="0" w:space="0" w:color="auto"/>
      </w:divBdr>
    </w:div>
    <w:div w:id="1803882276">
      <w:bodyDiv w:val="1"/>
      <w:marLeft w:val="0"/>
      <w:marRight w:val="0"/>
      <w:marTop w:val="0"/>
      <w:marBottom w:val="0"/>
      <w:divBdr>
        <w:top w:val="none" w:sz="0" w:space="0" w:color="auto"/>
        <w:left w:val="none" w:sz="0" w:space="0" w:color="auto"/>
        <w:bottom w:val="none" w:sz="0" w:space="0" w:color="auto"/>
        <w:right w:val="none" w:sz="0" w:space="0" w:color="auto"/>
      </w:divBdr>
    </w:div>
    <w:div w:id="1855068109">
      <w:bodyDiv w:val="1"/>
      <w:marLeft w:val="0"/>
      <w:marRight w:val="0"/>
      <w:marTop w:val="0"/>
      <w:marBottom w:val="0"/>
      <w:divBdr>
        <w:top w:val="none" w:sz="0" w:space="0" w:color="auto"/>
        <w:left w:val="none" w:sz="0" w:space="0" w:color="auto"/>
        <w:bottom w:val="none" w:sz="0" w:space="0" w:color="auto"/>
        <w:right w:val="none" w:sz="0" w:space="0" w:color="auto"/>
      </w:divBdr>
    </w:div>
    <w:div w:id="1920603155">
      <w:bodyDiv w:val="1"/>
      <w:marLeft w:val="0"/>
      <w:marRight w:val="0"/>
      <w:marTop w:val="0"/>
      <w:marBottom w:val="0"/>
      <w:divBdr>
        <w:top w:val="none" w:sz="0" w:space="0" w:color="auto"/>
        <w:left w:val="none" w:sz="0" w:space="0" w:color="auto"/>
        <w:bottom w:val="none" w:sz="0" w:space="0" w:color="auto"/>
        <w:right w:val="none" w:sz="0" w:space="0" w:color="auto"/>
      </w:divBdr>
    </w:div>
    <w:div w:id="1935893960">
      <w:bodyDiv w:val="1"/>
      <w:marLeft w:val="0"/>
      <w:marRight w:val="0"/>
      <w:marTop w:val="0"/>
      <w:marBottom w:val="0"/>
      <w:divBdr>
        <w:top w:val="none" w:sz="0" w:space="0" w:color="auto"/>
        <w:left w:val="none" w:sz="0" w:space="0" w:color="auto"/>
        <w:bottom w:val="none" w:sz="0" w:space="0" w:color="auto"/>
        <w:right w:val="none" w:sz="0" w:space="0" w:color="auto"/>
      </w:divBdr>
    </w:div>
    <w:div w:id="2104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valuation.org/" TargetMode="External"/><Relationship Id="rId21" Type="http://schemas.openxmlformats.org/officeDocument/2006/relationships/hyperlink" Target="http://www.ramsar.org/sites/default/files/documents/library/key_res_vii.10e.pdf" TargetMode="External"/><Relationship Id="rId42" Type="http://schemas.openxmlformats.org/officeDocument/2006/relationships/hyperlink" Target="http://www.ramsar.org/sites/default/files/documents/library/cop11-res11-e.pdf" TargetMode="External"/><Relationship Id="rId63" Type="http://schemas.openxmlformats.org/officeDocument/2006/relationships/hyperlink" Target="http://www.ramsar.org/sites/default/files/documents/pdf/cop11/doc/cop11-doc24-e-limits.pdf" TargetMode="External"/><Relationship Id="rId84" Type="http://schemas.openxmlformats.org/officeDocument/2006/relationships/hyperlink" Target="http://www.ramsar.org/sites/default/files/documents/library/ramsar_unwto_tourism_e_sept2012.pdf" TargetMode="External"/><Relationship Id="rId138" Type="http://schemas.openxmlformats.org/officeDocument/2006/relationships/hyperlink" Target="http://www.ramsar.org/sites/default/files/documents/pdf/res/key_res_ix_04_e.pdf" TargetMode="External"/><Relationship Id="rId159" Type="http://schemas.openxmlformats.org/officeDocument/2006/relationships/hyperlink" Target="https://portals.iucn.org/library/node/9094" TargetMode="External"/><Relationship Id="rId170" Type="http://schemas.openxmlformats.org/officeDocument/2006/relationships/hyperlink" Target="http://www.millenniumassessment.org/documents/document.358.aspx.pdf" TargetMode="External"/><Relationship Id="rId191" Type="http://schemas.openxmlformats.org/officeDocument/2006/relationships/hyperlink" Target="https://portals.iucn.org/library/node/46966" TargetMode="External"/><Relationship Id="rId205" Type="http://schemas.openxmlformats.org/officeDocument/2006/relationships/hyperlink" Target="http://www.norbalwet.org/assets/Documents/Project-documents/peat/PEATLANDS-AND-CLIMATE-IN-A-RAMSAR-CONTEXT-FULLTEXT02.pdf" TargetMode="External"/><Relationship Id="rId107" Type="http://schemas.openxmlformats.org/officeDocument/2006/relationships/hyperlink" Target="https://portals.iucn.org/library/efiles/documents/PAG-002.pdf" TargetMode="External"/><Relationship Id="rId11" Type="http://schemas.openxmlformats.org/officeDocument/2006/relationships/hyperlink" Target="https://www.ramsar.org/document/ramsar-technical-report-10-the-use-of-earth-observation-for-wetland-inventory-assessment" TargetMode="External"/><Relationship Id="rId32" Type="http://schemas.openxmlformats.org/officeDocument/2006/relationships/hyperlink" Target="https://portals.iucn.org/library/sites/library/files/documents/2003-121.pdf" TargetMode="External"/><Relationship Id="rId53" Type="http://schemas.openxmlformats.org/officeDocument/2006/relationships/hyperlink" Target="http://www.ramsar.org/sites/default/files/documents/pdf/res/key_res_viii_14_e.pdf" TargetMode="External"/><Relationship Id="rId74" Type="http://schemas.openxmlformats.org/officeDocument/2006/relationships/hyperlink" Target="https://portals.iucn.org/library/node/47142" TargetMode="External"/><Relationship Id="rId128" Type="http://schemas.openxmlformats.org/officeDocument/2006/relationships/hyperlink" Target="https://www.ramsar.org/document/briefing-note-8-ramsar-advisory-missions-technical-advice-on-ramsar-sites" TargetMode="External"/><Relationship Id="rId149" Type="http://schemas.openxmlformats.org/officeDocument/2006/relationships/hyperlink" Target="https://www.ramsar.org/news/good-practices-handbook-integrating-urban-development-and-wetland-conservation" TargetMode="External"/><Relationship Id="rId5" Type="http://schemas.openxmlformats.org/officeDocument/2006/relationships/webSettings" Target="webSettings.xml"/><Relationship Id="rId95" Type="http://schemas.openxmlformats.org/officeDocument/2006/relationships/hyperlink" Target="http://www.ramsar.org/sites/default/files/documents/library/cop10_culture_group_e.pdf" TargetMode="External"/><Relationship Id="rId160" Type="http://schemas.openxmlformats.org/officeDocument/2006/relationships/hyperlink" Target="https://portals.iucn.org/library/node/9902" TargetMode="External"/><Relationship Id="rId181" Type="http://schemas.openxmlformats.org/officeDocument/2006/relationships/hyperlink" Target="http://www.ramsar.org/sites/default/files/documents/pdf/res/key_res_viii_16_e.pdf" TargetMode="External"/><Relationship Id="rId22" Type="http://schemas.openxmlformats.org/officeDocument/2006/relationships/hyperlink" Target="http://www.ramsar.org/sites/default/files/documents/pdf/cop11/doc/cop11-doc24-e-limits.pdf" TargetMode="External"/><Relationship Id="rId43" Type="http://schemas.openxmlformats.org/officeDocument/2006/relationships/hyperlink" Target="http://www.ramsar.org/sites/default/files/documents/pdf/cop11/res/cop11-res12-e.pdf" TargetMode="External"/><Relationship Id="rId64" Type="http://schemas.openxmlformats.org/officeDocument/2006/relationships/hyperlink" Target="http://www.ramsar.org/sites/default/files/documents/pdf/cop10/cop10_doc33_e.pdf" TargetMode="External"/><Relationship Id="rId118" Type="http://schemas.openxmlformats.org/officeDocument/2006/relationships/hyperlink" Target="http://www.ecosystemassessments.net/resources/guidance-manual-for-the-valuation-of-regulating-services.pdf" TargetMode="External"/><Relationship Id="rId139" Type="http://schemas.openxmlformats.org/officeDocument/2006/relationships/hyperlink" Target="http://www.ramsar.org/sites/default/files/documents/pdf/res/key_res_viii_01_e.pdf" TargetMode="External"/><Relationship Id="rId85" Type="http://schemas.openxmlformats.org/officeDocument/2006/relationships/hyperlink" Target="http://www.ramsar.org/sites/default/files/documents/library/2014wec-hb_en_lr.pdf" TargetMode="External"/><Relationship Id="rId150" Type="http://schemas.openxmlformats.org/officeDocument/2006/relationships/hyperlink" Target="https://medwet.org/publications/med-wetlands-outlook-2-2018/" TargetMode="External"/><Relationship Id="rId171" Type="http://schemas.openxmlformats.org/officeDocument/2006/relationships/hyperlink" Target="http://www.ipieca.org/resources/good-practice/a-guide-to-developing-biodiversity-action-plans-for-the-oil-and-gas-sector/" TargetMode="External"/><Relationship Id="rId192" Type="http://schemas.openxmlformats.org/officeDocument/2006/relationships/hyperlink" Target="https://portals.iucn.org/library/node/46398" TargetMode="External"/><Relationship Id="rId206" Type="http://schemas.openxmlformats.org/officeDocument/2006/relationships/hyperlink" Target="http://www.nwf.org/~/media/PDFs/Global-Warming/Climate-Smart-Conservation/2014/Restoring-the-Great-Lakes-Coastal-Future-032114.pdf" TargetMode="External"/><Relationship Id="rId12" Type="http://schemas.openxmlformats.org/officeDocument/2006/relationships/hyperlink" Target="http://www.ramsar.org/sites/default/files/documents/library/cop12_res15_management_effectiveness_e.pdf" TargetMode="External"/><Relationship Id="rId33" Type="http://schemas.openxmlformats.org/officeDocument/2006/relationships/hyperlink" Target="https://portals.iucn.org/library/node/9577" TargetMode="External"/><Relationship Id="rId108" Type="http://schemas.openxmlformats.org/officeDocument/2006/relationships/hyperlink" Target="http://wraptoolkit.ruc.dk/" TargetMode="External"/><Relationship Id="rId129" Type="http://schemas.openxmlformats.org/officeDocument/2006/relationships/hyperlink" Target="https://www.ramsar.org/document/ramsar-policy-brief-3-ramsar-advisory-missions-a-mechanism-to-respond-to-change-in" TargetMode="External"/><Relationship Id="rId54" Type="http://schemas.openxmlformats.org/officeDocument/2006/relationships/hyperlink" Target="http://www.ramsar.org/sites/default/files/documents/pdf/res/key_res_viii_16_e.pdf" TargetMode="External"/><Relationship Id="rId75" Type="http://schemas.openxmlformats.org/officeDocument/2006/relationships/hyperlink" Target="https://portals.iucn.org/library/node/46825" TargetMode="External"/><Relationship Id="rId96" Type="http://schemas.openxmlformats.org/officeDocument/2006/relationships/hyperlink" Target="https://www.ipbes.net/assessment-reports/ldr" TargetMode="External"/><Relationship Id="rId140" Type="http://schemas.openxmlformats.org/officeDocument/2006/relationships/hyperlink" Target="http://www.ramsar.org/sites/default/files/documents/pdf/res/key_res_viii_04_e.pdf" TargetMode="External"/><Relationship Id="rId161" Type="http://schemas.openxmlformats.org/officeDocument/2006/relationships/hyperlink" Target="https://portals.iucn.org/library/node/8894" TargetMode="External"/><Relationship Id="rId182" Type="http://schemas.openxmlformats.org/officeDocument/2006/relationships/hyperlink" Target="http://www.ramsar.org/sites/default/files/documents/pdf/cop10/cop10_doc25_e.pdf" TargetMode="External"/><Relationship Id="rId6" Type="http://schemas.openxmlformats.org/officeDocument/2006/relationships/footnotes" Target="footnotes.xml"/><Relationship Id="rId23" Type="http://schemas.openxmlformats.org/officeDocument/2006/relationships/hyperlink" Target="http://www.ramsar.org/sites/default/files/documents/pdf/sc/35/key_sc35_doc04.pdf" TargetMode="External"/><Relationship Id="rId119" Type="http://schemas.openxmlformats.org/officeDocument/2006/relationships/hyperlink" Target="https://www.unenvironment.org/resources/report/guidance-manual-value-transfer-methods-ecosystem-services" TargetMode="External"/><Relationship Id="rId44" Type="http://schemas.openxmlformats.org/officeDocument/2006/relationships/hyperlink" Target="http://www.ramsar.org/sites/default/files/documents/pdf/cop11/res/cop11-res13-e.pdf" TargetMode="External"/><Relationship Id="rId65" Type="http://schemas.openxmlformats.org/officeDocument/2006/relationships/hyperlink" Target="http://www.ramsar.org/sites/default/files/documents/pdf/cop10/cop10_doc27_e.pdf" TargetMode="External"/><Relationship Id="rId86" Type="http://schemas.openxmlformats.org/officeDocument/2006/relationships/hyperlink" Target="https://www.iucn.org/content/our-country-our-way-guidelines-australian-indigenous-protected-area-management-plans" TargetMode="External"/><Relationship Id="rId130" Type="http://schemas.openxmlformats.org/officeDocument/2006/relationships/hyperlink" Target="http://www.ramsar.org/sites/default/files/documents/pdf/cop11/res/cop11-res07-e.pdf" TargetMode="External"/><Relationship Id="rId151" Type="http://schemas.openxmlformats.org/officeDocument/2006/relationships/hyperlink" Target="https://portals.iucn.org/library/node/46598" TargetMode="External"/><Relationship Id="rId172" Type="http://schemas.openxmlformats.org/officeDocument/2006/relationships/hyperlink" Target="http://www.forest-trends.org/documents/files/doc_3101.pdf" TargetMode="External"/><Relationship Id="rId193" Type="http://schemas.openxmlformats.org/officeDocument/2006/relationships/hyperlink" Target="https://www.iucn.org/content/keep-it-fresh-or-salty-introductory-guide-financing-wetland-carbon-programs-and-projects" TargetMode="External"/><Relationship Id="rId207" Type="http://schemas.openxmlformats.org/officeDocument/2006/relationships/fontTable" Target="fontTable.xml"/><Relationship Id="rId13" Type="http://schemas.openxmlformats.org/officeDocument/2006/relationships/hyperlink" Target="http://www.ramsar.org/sites/default/files/documents/pdf/cop11/res/cop11-res12-e.pdf" TargetMode="External"/><Relationship Id="rId109" Type="http://schemas.openxmlformats.org/officeDocument/2006/relationships/hyperlink" Target="https://portals.iucn.org/library/efiles/documents/2009-015.pdf" TargetMode="External"/><Relationship Id="rId34" Type="http://schemas.openxmlformats.org/officeDocument/2006/relationships/hyperlink" Target="https://portals.iucn.org/library/node/43206" TargetMode="External"/><Relationship Id="rId55" Type="http://schemas.openxmlformats.org/officeDocument/2006/relationships/hyperlink" Target="http://www.ramsar.org/sites/default/files/documents/pdf/res/key_res_viii_17_e.pdf" TargetMode="External"/><Relationship Id="rId76" Type="http://schemas.openxmlformats.org/officeDocument/2006/relationships/hyperlink" Target="http://wraptoolkit.ruc.dk/" TargetMode="External"/><Relationship Id="rId97" Type="http://schemas.openxmlformats.org/officeDocument/2006/relationships/hyperlink" Target="https://www.ipbes.net/assessment-reports/pollinators" TargetMode="External"/><Relationship Id="rId120" Type="http://schemas.openxmlformats.org/officeDocument/2006/relationships/hyperlink" Target="http://www.environment.gov.au/system/files/resources/fb918be6-fd56-43a5-9e61-f4e63d455e0c/files/review-ecosystem-services-report.pdf" TargetMode="External"/><Relationship Id="rId141" Type="http://schemas.openxmlformats.org/officeDocument/2006/relationships/hyperlink" Target="http://www.ramsar.org/sites/default/files/documents/pdf/res/key_res_viii_17_e.pdf" TargetMode="External"/><Relationship Id="rId7" Type="http://schemas.openxmlformats.org/officeDocument/2006/relationships/endnotes" Target="endnotes.xml"/><Relationship Id="rId162" Type="http://schemas.openxmlformats.org/officeDocument/2006/relationships/hyperlink" Target="https://portals.iucn.org/library/sites/library/files/documents/2008-096.pdf" TargetMode="External"/><Relationship Id="rId183" Type="http://schemas.openxmlformats.org/officeDocument/2006/relationships/hyperlink" Target="http://www.ramsar.org/sites/default/files/documents/library/bn4-en.pdf" TargetMode="External"/><Relationship Id="rId24" Type="http://schemas.openxmlformats.org/officeDocument/2006/relationships/hyperlink" Target="http://www.ramsar.org/sites/default/files/documents/library/lib_rtr01.pdf" TargetMode="External"/><Relationship Id="rId40" Type="http://schemas.openxmlformats.org/officeDocument/2006/relationships/hyperlink" Target="http://www.ramsar.org/sites/default/files/documents/pdf/cop11/res/cop11-res07-e.pdf" TargetMode="External"/><Relationship Id="rId45" Type="http://schemas.openxmlformats.org/officeDocument/2006/relationships/hyperlink" Target="http://www.ramsar.org/sites/default/files/documents/pdf/res/key_res_x_15_e.pdf" TargetMode="External"/><Relationship Id="rId66" Type="http://schemas.openxmlformats.org/officeDocument/2006/relationships/hyperlink" Target="http://www.ramsar.org/sites/default/files/documents/library/bn6.pdf" TargetMode="External"/><Relationship Id="rId87" Type="http://schemas.openxmlformats.org/officeDocument/2006/relationships/hyperlink" Target="http://www.ir.undp.org/content/dam/iran/docs/Publications/Environment%20&amp;%20Sustainable%20Development/Towards%20a%20Community%20of%20Practice%20of%20Wetland%20Project%20ManagementENG.pdf" TargetMode="External"/><Relationship Id="rId110" Type="http://schemas.openxmlformats.org/officeDocument/2006/relationships/hyperlink" Target="http://intranet.iucn.org/webfiles/doc/SpeciesProg/FBU/MtanzaMsona_IWA_TechnicalReport_lowres.pdf" TargetMode="External"/><Relationship Id="rId115" Type="http://schemas.openxmlformats.org/officeDocument/2006/relationships/hyperlink" Target="http://cmsdata.iucn.org/downloads/teeb_water_wetlands_report___full_report_1.pdf" TargetMode="External"/><Relationship Id="rId131" Type="http://schemas.openxmlformats.org/officeDocument/2006/relationships/hyperlink" Target="http://www.ramsar.org/sites/default/files/documents/library/cop11-res09-e.pdf" TargetMode="External"/><Relationship Id="rId136" Type="http://schemas.openxmlformats.org/officeDocument/2006/relationships/hyperlink" Target="http://www.ramsar.org/sites/default/files/documents/pdf/res/key_res_x_19_e.pdf" TargetMode="External"/><Relationship Id="rId157" Type="http://schemas.openxmlformats.org/officeDocument/2006/relationships/hyperlink" Target="https://portals.iucn.org/library/node/44769" TargetMode="External"/><Relationship Id="rId178" Type="http://schemas.openxmlformats.org/officeDocument/2006/relationships/hyperlink" Target="https://www.ramsar.org/document/resolution-xiii12-guidance-on-identifying-peatlands-as-wetlands-of-international-importance" TargetMode="External"/><Relationship Id="rId61" Type="http://schemas.openxmlformats.org/officeDocument/2006/relationships/hyperlink" Target="http://www.ramsar.org/sites/default/files/documents/library/cop12_doc20_pame_e.pdf" TargetMode="External"/><Relationship Id="rId82" Type="http://schemas.openxmlformats.org/officeDocument/2006/relationships/hyperlink" Target="http://d2ouvy59p0dg6k.cloudfront.net/downloads/wetlands_management_guide_2008.pdf" TargetMode="External"/><Relationship Id="rId152" Type="http://schemas.openxmlformats.org/officeDocument/2006/relationships/hyperlink" Target="https://www.iucn.org/content/water-management-and-stewardship" TargetMode="External"/><Relationship Id="rId173" Type="http://schemas.openxmlformats.org/officeDocument/2006/relationships/hyperlink" Target="https://www.conservationgateway.org/ConservationByGeography/NorthAmerica/Pages/mitigation-principles.aspx" TargetMode="External"/><Relationship Id="rId194" Type="http://schemas.openxmlformats.org/officeDocument/2006/relationships/hyperlink" Target="https://portals.iucn.org/library/node/10224" TargetMode="External"/><Relationship Id="rId199" Type="http://schemas.openxmlformats.org/officeDocument/2006/relationships/hyperlink" Target="https://portals.iucn.org/library/node/8368" TargetMode="External"/><Relationship Id="rId203" Type="http://schemas.openxmlformats.org/officeDocument/2006/relationships/hyperlink" Target="http://www.unep.org/pdf/Guiding_principles_for_delivering_coastal_wetland_projects.pdf" TargetMode="External"/><Relationship Id="rId208" Type="http://schemas.openxmlformats.org/officeDocument/2006/relationships/theme" Target="theme/theme1.xml"/><Relationship Id="rId19" Type="http://schemas.openxmlformats.org/officeDocument/2006/relationships/hyperlink" Target="http://www.ramsar.org/sites/default/files/documents/pdf/res/key_res_ix_01_annexei_e.pdf" TargetMode="External"/><Relationship Id="rId14" Type="http://schemas.openxmlformats.org/officeDocument/2006/relationships/hyperlink" Target="http://www.ramsar.org/sites/default/files/documents/pdf/res/key_res_x_15_e.pdf" TargetMode="External"/><Relationship Id="rId30" Type="http://schemas.openxmlformats.org/officeDocument/2006/relationships/hyperlink" Target="http://wraptoolkit.ruc.dk/" TargetMode="External"/><Relationship Id="rId35" Type="http://schemas.openxmlformats.org/officeDocument/2006/relationships/hyperlink" Target="https://www.worldwildlife.org/pages/global-lakes-and-wetlands-database" TargetMode="External"/><Relationship Id="rId56" Type="http://schemas.openxmlformats.org/officeDocument/2006/relationships/hyperlink" Target="http://www.ramsar.org/sites/default/files/documents/pdf/res/key_res_viii_20_e.pdf" TargetMode="External"/><Relationship Id="rId77" Type="http://schemas.openxmlformats.org/officeDocument/2006/relationships/hyperlink" Target="https://portals.iucn.org/library/efiles/documents/2009-015.pdf" TargetMode="External"/><Relationship Id="rId100" Type="http://schemas.openxmlformats.org/officeDocument/2006/relationships/hyperlink" Target="https://www.ipbes.net/assessment-reports/americas" TargetMode="External"/><Relationship Id="rId105" Type="http://schemas.openxmlformats.org/officeDocument/2006/relationships/hyperlink" Target="https://portals.iucn.org/library/sites/library/files/documents/PAG-028-En.pdf" TargetMode="External"/><Relationship Id="rId126" Type="http://schemas.openxmlformats.org/officeDocument/2006/relationships/hyperlink" Target="https://www.global-wetland-outlook.ramsar.org/outlook/" TargetMode="External"/><Relationship Id="rId147" Type="http://schemas.openxmlformats.org/officeDocument/2006/relationships/hyperlink" Target="https://www.ramsar.org/document/wetlands-and-the-sdgs" TargetMode="External"/><Relationship Id="rId168" Type="http://schemas.openxmlformats.org/officeDocument/2006/relationships/hyperlink" Target="http://www.ramsar.org/sites/default/files/documents/library/ramsar_unwto_tourism_e_sept2012.pdf" TargetMode="External"/><Relationship Id="rId8" Type="http://schemas.openxmlformats.org/officeDocument/2006/relationships/header" Target="header1.xml"/><Relationship Id="rId51" Type="http://schemas.openxmlformats.org/officeDocument/2006/relationships/hyperlink" Target="http://www.ramsar.org/sites/default/files/documents/pdf/res/key_res_viii_01_e.pdf" TargetMode="External"/><Relationship Id="rId72" Type="http://schemas.openxmlformats.org/officeDocument/2006/relationships/hyperlink" Target="https://www.ramsar.org/document/the-relationship-of-indigenous-peoples-and-local-communities-with-wetlands" TargetMode="External"/><Relationship Id="rId93" Type="http://schemas.openxmlformats.org/officeDocument/2006/relationships/hyperlink" Target="http://www.ramsar.org/sites/default/files/documents/pdf/lib/lib_rtr03.pdf" TargetMode="External"/><Relationship Id="rId98" Type="http://schemas.openxmlformats.org/officeDocument/2006/relationships/hyperlink" Target="https://www.ipbes.net/assessment-reports/scenarios" TargetMode="External"/><Relationship Id="rId121" Type="http://schemas.openxmlformats.org/officeDocument/2006/relationships/hyperlink" Target="http://www.fao.org/docrep/007/y5582e/y5582e00.htm" TargetMode="External"/><Relationship Id="rId142" Type="http://schemas.openxmlformats.org/officeDocument/2006/relationships/hyperlink" Target="http://www.ramsar.org/sites/default/files/documents/library/key_res_vii.07e.pdf" TargetMode="External"/><Relationship Id="rId163" Type="http://schemas.openxmlformats.org/officeDocument/2006/relationships/hyperlink" Target="http://www.iwmi.cgiar.org/Publications/Books/PDF/wetlands-and-people.pdf" TargetMode="External"/><Relationship Id="rId184" Type="http://schemas.openxmlformats.org/officeDocument/2006/relationships/hyperlink" Target="http://www.ramsar.org/sites/default/files/documents/bn/bn5.pdf" TargetMode="External"/><Relationship Id="rId189" Type="http://schemas.openxmlformats.org/officeDocument/2006/relationships/hyperlink" Target="https://portals.iucn.org/library/node/46685" TargetMode="External"/><Relationship Id="rId3" Type="http://schemas.microsoft.com/office/2007/relationships/stylesWithEffects" Target="stylesWithEffects.xml"/><Relationship Id="rId25" Type="http://schemas.openxmlformats.org/officeDocument/2006/relationships/hyperlink" Target="http://www.ramsar.org/sites/default/files/documents/library/lib_rtr02.pdf" TargetMode="External"/><Relationship Id="rId46" Type="http://schemas.openxmlformats.org/officeDocument/2006/relationships/hyperlink" Target="http://www.ramsar.org/sites/default/files/documents/pdf/res/key_res_x_16_e.pdf" TargetMode="External"/><Relationship Id="rId67" Type="http://schemas.openxmlformats.org/officeDocument/2006/relationships/hyperlink" Target="http://www.ramsar.org/sites/default/files/documents/library/rtr7-disease.pdf" TargetMode="External"/><Relationship Id="rId116" Type="http://schemas.openxmlformats.org/officeDocument/2006/relationships/hyperlink" Target="http://www.millenniumassessment.org/documents/document.358.aspx.pdf" TargetMode="External"/><Relationship Id="rId137" Type="http://schemas.openxmlformats.org/officeDocument/2006/relationships/hyperlink" Target="http://www.ramsar.org/sites/default/files/documents/pdf/res/key_res_ix_01_annexcii_e.pdf" TargetMode="External"/><Relationship Id="rId158" Type="http://schemas.openxmlformats.org/officeDocument/2006/relationships/hyperlink" Target="https://portals.iucn.org/library/node/10101" TargetMode="External"/><Relationship Id="rId20" Type="http://schemas.openxmlformats.org/officeDocument/2006/relationships/hyperlink" Target="http://www.ramsar.org/sites/default/files/documents/library/key_res_viii_06_e.pdf" TargetMode="External"/><Relationship Id="rId41" Type="http://schemas.openxmlformats.org/officeDocument/2006/relationships/hyperlink" Target="http://www.ramsar.org/sites/default/files/documents/library/cop11-res09-e.pdf" TargetMode="External"/><Relationship Id="rId62" Type="http://schemas.openxmlformats.org/officeDocument/2006/relationships/hyperlink" Target="http://www.ramsar.org/sites/default/files/documents/library/cop12_res15_management_effectiveness_e.pdf" TargetMode="External"/><Relationship Id="rId83" Type="http://schemas.openxmlformats.org/officeDocument/2006/relationships/hyperlink" Target="http://cmsdata.iucn.org/downloads/teeb_water_wetlands_report___full_report_1.pdf" TargetMode="External"/><Relationship Id="rId88" Type="http://schemas.openxmlformats.org/officeDocument/2006/relationships/hyperlink" Target="https://www.ramsar.org/document/resolution-xiii17-rapidly-assessing-wetland-ecosystem-services" TargetMode="External"/><Relationship Id="rId111" Type="http://schemas.openxmlformats.org/officeDocument/2006/relationships/hyperlink" Target="https://portals.iucn.org/library/node/9678" TargetMode="External"/><Relationship Id="rId132" Type="http://schemas.openxmlformats.org/officeDocument/2006/relationships/hyperlink" Target="http://www.ramsar.org/sites/default/files/documents/pdf/cop11/res/cop11-res10-e.pdf" TargetMode="External"/><Relationship Id="rId153" Type="http://schemas.openxmlformats.org/officeDocument/2006/relationships/hyperlink" Target="https://portals.iucn.org/library/node/46242" TargetMode="External"/><Relationship Id="rId174" Type="http://schemas.openxmlformats.org/officeDocument/2006/relationships/hyperlink" Target="http://www.oecd.org/env/resources/Biodiversity%20Offsets_Highlights_for%20COP12%20FINAL.pdf" TargetMode="External"/><Relationship Id="rId179" Type="http://schemas.openxmlformats.org/officeDocument/2006/relationships/hyperlink" Target="https://www.ramsar.org/document/resolution-xiii13-restoration-of-degraded-peatlands-to-mitigate-and-adapt-to-climate-change" TargetMode="External"/><Relationship Id="rId195" Type="http://schemas.openxmlformats.org/officeDocument/2006/relationships/hyperlink" Target="https://portals.iucn.org/library/node/10103" TargetMode="External"/><Relationship Id="rId190" Type="http://schemas.openxmlformats.org/officeDocument/2006/relationships/hyperlink" Target="http://pubs.iied.org/17460IIED/" TargetMode="External"/><Relationship Id="rId204" Type="http://schemas.openxmlformats.org/officeDocument/2006/relationships/hyperlink" Target="http://www.ramsar.org/sites/default/files/documents/library/ny_2._korrektur_anp_peatland.pdf" TargetMode="External"/><Relationship Id="rId15" Type="http://schemas.openxmlformats.org/officeDocument/2006/relationships/hyperlink" Target="http://www.ramsar.org/sites/default/files/documents/pdf/res/key_res_x_16_e.pdf" TargetMode="External"/><Relationship Id="rId36" Type="http://schemas.openxmlformats.org/officeDocument/2006/relationships/hyperlink" Target="http://bestcat.org.s3.amazonaws.com/index.html" TargetMode="External"/><Relationship Id="rId57" Type="http://schemas.openxmlformats.org/officeDocument/2006/relationships/hyperlink" Target="http://www.ramsar.org/sites/default/files/documents/pdf/res/key_res_viii_33_e.pdf" TargetMode="External"/><Relationship Id="rId106" Type="http://schemas.openxmlformats.org/officeDocument/2006/relationships/hyperlink" Target="http://www.birdlife.org/worldwide/science/assessing-ecosystem-services-tessa" TargetMode="External"/><Relationship Id="rId127" Type="http://schemas.openxmlformats.org/officeDocument/2006/relationships/hyperlink" Target="https://www.global-wetland-outlook.ramsar.org/outlook/" TargetMode="External"/><Relationship Id="rId10" Type="http://schemas.openxmlformats.org/officeDocument/2006/relationships/hyperlink" Target="https://www.ramsar.org/document/briefing-note-9-guidelines-for-inventories-of-tropical-peatlands-to-facilitate-their" TargetMode="External"/><Relationship Id="rId31" Type="http://schemas.openxmlformats.org/officeDocument/2006/relationships/hyperlink" Target="https://portals.iucn.org/library/efiles/documents/2009-015.pdf" TargetMode="External"/><Relationship Id="rId52" Type="http://schemas.openxmlformats.org/officeDocument/2006/relationships/hyperlink" Target="http://www.ramsar.org/sites/default/files/documents/pdf/res/key_res_viii_04_e.pdf" TargetMode="External"/><Relationship Id="rId73" Type="http://schemas.openxmlformats.org/officeDocument/2006/relationships/hyperlink" Target="https://portals.iucn.org/library/node/46176" TargetMode="External"/><Relationship Id="rId78" Type="http://schemas.openxmlformats.org/officeDocument/2006/relationships/hyperlink" Target="https://portals.iucn.org/library/sites/library/files/documents/2005-072.pdf" TargetMode="External"/><Relationship Id="rId94" Type="http://schemas.openxmlformats.org/officeDocument/2006/relationships/hyperlink" Target="http://www.ramsar.org/sites/default/files/documents/pdf/lib/rtr6-health.pdf" TargetMode="External"/><Relationship Id="rId99" Type="http://schemas.openxmlformats.org/officeDocument/2006/relationships/hyperlink" Target="https://www.ipbes.net/assessment-reports/africa" TargetMode="External"/><Relationship Id="rId101" Type="http://schemas.openxmlformats.org/officeDocument/2006/relationships/hyperlink" Target="https://www.ipbes.net/assessment-reports/asia-pacific" TargetMode="External"/><Relationship Id="rId122" Type="http://schemas.openxmlformats.org/officeDocument/2006/relationships/hyperlink" Target="http://bestcat.org.s3.amazonaws.com/index.html" TargetMode="External"/><Relationship Id="rId143" Type="http://schemas.openxmlformats.org/officeDocument/2006/relationships/hyperlink" Target="http://www.ramsar.org/sites/default/files/documents/pdf/cop11/doc/cop11-doc28-e-energy.pdf" TargetMode="External"/><Relationship Id="rId148" Type="http://schemas.openxmlformats.org/officeDocument/2006/relationships/hyperlink" Target="https://knowledge.unccd.int/publication/full-report" TargetMode="External"/><Relationship Id="rId164" Type="http://schemas.openxmlformats.org/officeDocument/2006/relationships/hyperlink" Target="http://www.iwmi.cgiar.org/Publications/IWMI_Research_Reports/PDF/PUB137/RR137.pdf" TargetMode="External"/><Relationship Id="rId169" Type="http://schemas.openxmlformats.org/officeDocument/2006/relationships/hyperlink" Target="https://www.cbd.int/tourism/doc/tourism-manual-2015-en.pdf" TargetMode="External"/><Relationship Id="rId185" Type="http://schemas.openxmlformats.org/officeDocument/2006/relationships/hyperlink" Target="http://www.ramsar.org/sites/default/files/documents/pdf/lib/lib_rtr05.pdf"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ramsar.org/document/briefing-note-10-wetland-restoration-for-climate-change-resilience" TargetMode="External"/><Relationship Id="rId26" Type="http://schemas.openxmlformats.org/officeDocument/2006/relationships/hyperlink" Target="http://www.ramsar.org/sites/default/files/documents/pdf/lib/lib_rtr04.pdf" TargetMode="External"/><Relationship Id="rId47" Type="http://schemas.openxmlformats.org/officeDocument/2006/relationships/hyperlink" Target="http://www.ramsar.org/sites/default/files/documents/pdf/res/key_res_x_17_e.pdf" TargetMode="External"/><Relationship Id="rId68" Type="http://schemas.openxmlformats.org/officeDocument/2006/relationships/hyperlink" Target="http://www.ramsar.org/sites/default/files/documents/pdf/lib/rtr9-estuaries.pdf" TargetMode="External"/><Relationship Id="rId89" Type="http://schemas.openxmlformats.org/officeDocument/2006/relationships/hyperlink" Target="https://www.ramsar.org/document/ramsar-policy-brief-1-wetlands-for-disaster-risk-reduction-effective-choices-for-resilient" TargetMode="External"/><Relationship Id="rId112" Type="http://schemas.openxmlformats.org/officeDocument/2006/relationships/hyperlink" Target="https://portals.iucn.org/library/node/9577" TargetMode="External"/><Relationship Id="rId133" Type="http://schemas.openxmlformats.org/officeDocument/2006/relationships/hyperlink" Target="http://www.ramsar.org/sites/default/files/documents/pdf/guide/guide-urban-e.pdf" TargetMode="External"/><Relationship Id="rId154" Type="http://schemas.openxmlformats.org/officeDocument/2006/relationships/hyperlink" Target="https://www.iucn.org/sites/dev/files/capacity_building_and_synergies_-_contribution_to_the_long-term_strategic_framework_for_capacity_building.pdf" TargetMode="External"/><Relationship Id="rId175" Type="http://schemas.openxmlformats.org/officeDocument/2006/relationships/hyperlink" Target="http://www.fao.org/3/i0314e/i0314e00.htm" TargetMode="External"/><Relationship Id="rId196" Type="http://schemas.openxmlformats.org/officeDocument/2006/relationships/hyperlink" Target="https://portals.iucn.org/library/node/45117" TargetMode="External"/><Relationship Id="rId200" Type="http://schemas.openxmlformats.org/officeDocument/2006/relationships/hyperlink" Target="http://www.fao.org/3/an762e/an762e00.htm" TargetMode="External"/><Relationship Id="rId16" Type="http://schemas.openxmlformats.org/officeDocument/2006/relationships/hyperlink" Target="http://www.ramsar.org/sites/default/files/documents/pdf/res/key_res_x_21_e.pdf" TargetMode="External"/><Relationship Id="rId37" Type="http://schemas.openxmlformats.org/officeDocument/2006/relationships/hyperlink" Target="http://www.equilibriumresearch.com/upload/document/Revised_METT_final_downloadable_version.pdf" TargetMode="External"/><Relationship Id="rId58" Type="http://schemas.openxmlformats.org/officeDocument/2006/relationships/hyperlink" Target="http://www.ramsar.org/sites/default/files/documents/pdf/res/key_res_viii_36_e.pdf" TargetMode="External"/><Relationship Id="rId79" Type="http://schemas.openxmlformats.org/officeDocument/2006/relationships/hyperlink" Target="https://portals.iucn.org/library/sites/library/files/documents/2008-096.pdf" TargetMode="External"/><Relationship Id="rId102" Type="http://schemas.openxmlformats.org/officeDocument/2006/relationships/hyperlink" Target="https://www.ipbes.net/assessment-reports/eca" TargetMode="External"/><Relationship Id="rId123" Type="http://schemas.openxmlformats.org/officeDocument/2006/relationships/hyperlink" Target="http://www.sciencedirect.com/science/article/pii/S187734351400116X" TargetMode="External"/><Relationship Id="rId144" Type="http://schemas.openxmlformats.org/officeDocument/2006/relationships/hyperlink" Target="http://www.ramsar.org/activity/ramsar-advisory-missions" TargetMode="External"/><Relationship Id="rId90" Type="http://schemas.openxmlformats.org/officeDocument/2006/relationships/hyperlink" Target="https://www.ramsar.org/document/ramsar-policy-brief-2-integrating-multiple-wetland-values-into-decision-making" TargetMode="External"/><Relationship Id="rId165" Type="http://schemas.openxmlformats.org/officeDocument/2006/relationships/hyperlink" Target="http://www.iwmi.cgiar.org/Publications/Water_Policy_Briefs/PDF/WPB30.pdf" TargetMode="External"/><Relationship Id="rId186" Type="http://schemas.openxmlformats.org/officeDocument/2006/relationships/hyperlink" Target="https://www.ramsar.org/document/30-good-reasons-to-safeguard-peatlands-results-from-the-international-workshop-on-peatland" TargetMode="External"/><Relationship Id="rId27" Type="http://schemas.openxmlformats.org/officeDocument/2006/relationships/hyperlink" Target="http://www.ramsar.org/sites/default/files/documents/library/rtr7-disease.pdf" TargetMode="External"/><Relationship Id="rId48" Type="http://schemas.openxmlformats.org/officeDocument/2006/relationships/hyperlink" Target="http://www.ramsar.org/sites/default/files/documents/pdf/res/key_res_x_19_e.pdf" TargetMode="External"/><Relationship Id="rId69" Type="http://schemas.openxmlformats.org/officeDocument/2006/relationships/hyperlink" Target="https://www.ramsar.org/sites/default/files/documents/library/designation_management_ramsar_sites_e.pdf" TargetMode="External"/><Relationship Id="rId113" Type="http://schemas.openxmlformats.org/officeDocument/2006/relationships/hyperlink" Target="https://portals.iucn.org/library/sites/library/files/documents/Ramsar-021.pdf" TargetMode="External"/><Relationship Id="rId134" Type="http://schemas.openxmlformats.org/officeDocument/2006/relationships/hyperlink" Target="http://www.ramsar.org/sites/default/files/documents/pdf/res/key_res_x_03_e.pdf" TargetMode="External"/><Relationship Id="rId80" Type="http://schemas.openxmlformats.org/officeDocument/2006/relationships/hyperlink" Target="https://portals.iucn.org/library/node/8968" TargetMode="External"/><Relationship Id="rId155" Type="http://schemas.openxmlformats.org/officeDocument/2006/relationships/hyperlink" Target="http://www.unwater.org/publications/world-water-development-report-2018/" TargetMode="External"/><Relationship Id="rId176" Type="http://schemas.openxmlformats.org/officeDocument/2006/relationships/hyperlink" Target="http://bestcat.org.s3.amazonaws.com/index.html" TargetMode="External"/><Relationship Id="rId197" Type="http://schemas.openxmlformats.org/officeDocument/2006/relationships/hyperlink" Target="https://portals.iucn.org/library/node/44887" TargetMode="External"/><Relationship Id="rId201" Type="http://schemas.openxmlformats.org/officeDocument/2006/relationships/hyperlink" Target="http://www.imcg.net/media/download_gallery/books/assessment_peatland.pdf" TargetMode="External"/><Relationship Id="rId17" Type="http://schemas.openxmlformats.org/officeDocument/2006/relationships/hyperlink" Target="http://www.ramsar.org/sites/default/files/documents/pdf/res/key_res_ix_01_annexd_e.pdf" TargetMode="External"/><Relationship Id="rId38" Type="http://schemas.openxmlformats.org/officeDocument/2006/relationships/hyperlink" Target="https://www.bipindicators.net/system/resources/files/000/002/191/original/Framework_Brochure_UK_0311_LOWRES_%281%29.pdf?1481634262" TargetMode="External"/><Relationship Id="rId59" Type="http://schemas.openxmlformats.org/officeDocument/2006/relationships/hyperlink" Target="http://www.ramsar.org/sites/default/files/documents/library/key_res_vii.08e.pdf" TargetMode="External"/><Relationship Id="rId103" Type="http://schemas.openxmlformats.org/officeDocument/2006/relationships/hyperlink" Target="https://portals.iucn.org/library/sites/library/files/documents/2016-070.pdf" TargetMode="External"/><Relationship Id="rId124" Type="http://schemas.openxmlformats.org/officeDocument/2006/relationships/hyperlink" Target="http://www.teebweb.org/our-publications/teeb-study-reports/ecological-and-economic-foundations/" TargetMode="External"/><Relationship Id="rId70" Type="http://schemas.openxmlformats.org/officeDocument/2006/relationships/hyperlink" Target="https://www.ramsar.org/document/guidance-rapid-cultural-inventories-for-wetlands" TargetMode="External"/><Relationship Id="rId91" Type="http://schemas.openxmlformats.org/officeDocument/2006/relationships/hyperlink" Target="http://www.ramsar.org/sites/default/files/documents/pdf/cop11/res/cop11-res13-e.pdf" TargetMode="External"/><Relationship Id="rId145" Type="http://schemas.openxmlformats.org/officeDocument/2006/relationships/hyperlink" Target="http://www.ramsar.org/sites/default/files/documents/library/bn6.pdf" TargetMode="External"/><Relationship Id="rId166" Type="http://schemas.openxmlformats.org/officeDocument/2006/relationships/hyperlink" Target="http://www.iwmi.cgiar.org/Publications/IWMI_Research_Reports/PDF/pub090/RR90.pdf" TargetMode="External"/><Relationship Id="rId187" Type="http://schemas.openxmlformats.org/officeDocument/2006/relationships/hyperlink" Target="http://www.grida.no/publications/381" TargetMode="External"/><Relationship Id="rId1" Type="http://schemas.openxmlformats.org/officeDocument/2006/relationships/customXml" Target="../customXml/item1.xml"/><Relationship Id="rId28" Type="http://schemas.openxmlformats.org/officeDocument/2006/relationships/hyperlink" Target="https://portals.iucn.org/library/node/47982" TargetMode="External"/><Relationship Id="rId49" Type="http://schemas.openxmlformats.org/officeDocument/2006/relationships/hyperlink" Target="http://www.ramsar.org/sites/default/files/documents/pdf/res/key_res_x_21_e.pdf" TargetMode="External"/><Relationship Id="rId114" Type="http://schemas.openxmlformats.org/officeDocument/2006/relationships/hyperlink" Target="http://www.iwmi.cgiar.org/Publications/IWMI_Research_Reports/PDF/pub090/RR90.pdf" TargetMode="External"/><Relationship Id="rId60" Type="http://schemas.openxmlformats.org/officeDocument/2006/relationships/hyperlink" Target="http://www.ramsar.org/sites/default/files/documents/library/key_res_vii.10e.pdf" TargetMode="External"/><Relationship Id="rId81" Type="http://schemas.openxmlformats.org/officeDocument/2006/relationships/hyperlink" Target="https://south-asia.wetlands.org/publications/wetland-management-planning-methodology-manual-managers/" TargetMode="External"/><Relationship Id="rId135" Type="http://schemas.openxmlformats.org/officeDocument/2006/relationships/hyperlink" Target="http://www.ramsar.org/sites/default/files/documents/pdf/res/key_res_x_17_e.pdf" TargetMode="External"/><Relationship Id="rId156" Type="http://schemas.openxmlformats.org/officeDocument/2006/relationships/hyperlink" Target="https://portals.iucn.org/library/node/45374" TargetMode="External"/><Relationship Id="rId177" Type="http://schemas.openxmlformats.org/officeDocument/2006/relationships/hyperlink" Target="http://www.iwmi.cgiar.org/Publications/IWMI_Research_Reports/PDF/pub153/rr153.pdf" TargetMode="External"/><Relationship Id="rId198" Type="http://schemas.openxmlformats.org/officeDocument/2006/relationships/hyperlink" Target="https://portals.iucn.org/library/node/9842" TargetMode="External"/><Relationship Id="rId202" Type="http://schemas.openxmlformats.org/officeDocument/2006/relationships/hyperlink" Target="http://cmsdata.iucn.org/downloads/teeb_water_wetlands_report___full_report_1.pdf" TargetMode="External"/><Relationship Id="rId18" Type="http://schemas.openxmlformats.org/officeDocument/2006/relationships/hyperlink" Target="http://www.ramsar.org/sites/default/files/documents/pdf/res/key_res_ix_01_annexe_e.pdf" TargetMode="External"/><Relationship Id="rId39" Type="http://schemas.openxmlformats.org/officeDocument/2006/relationships/hyperlink" Target="https://www.ramsar.org/resources/ramsar-sites-management-toolkit" TargetMode="External"/><Relationship Id="rId50" Type="http://schemas.openxmlformats.org/officeDocument/2006/relationships/hyperlink" Target="http://www.ramsar.org/sites/default/files/documents/pdf/res/key_res_ix_01_annexcii_e.pdf" TargetMode="External"/><Relationship Id="rId104" Type="http://schemas.openxmlformats.org/officeDocument/2006/relationships/hyperlink" Target="https://portals.iucn.org/library/node/47805http:/www2.ecolex.org/server2neu.php/libcat/docs/LI/MON-093835.pdf" TargetMode="External"/><Relationship Id="rId125" Type="http://schemas.openxmlformats.org/officeDocument/2006/relationships/hyperlink" Target="https://www.environment.gov.au/water/wetlands/publications/literature-review-economic-value-ecosystem-services-wetlands-provide" TargetMode="External"/><Relationship Id="rId146" Type="http://schemas.openxmlformats.org/officeDocument/2006/relationships/hyperlink" Target="http://www.ramsar.org/sites/default/files/documents/pdf/lib/rtr9-estuaries.pdf" TargetMode="External"/><Relationship Id="rId167" Type="http://schemas.openxmlformats.org/officeDocument/2006/relationships/hyperlink" Target="http://www.wetlands.org/Portals/0/publications/Wetlands-practicalguidance.def.lowreswebversion.pdf" TargetMode="External"/><Relationship Id="rId188" Type="http://schemas.openxmlformats.org/officeDocument/2006/relationships/hyperlink" Target="https://www.ipcc.ch/sr15/" TargetMode="External"/><Relationship Id="rId71" Type="http://schemas.openxmlformats.org/officeDocument/2006/relationships/hyperlink" Target="https://www.ramsar.org/document/ramsar-and-world-heritage-conventions-converging-towards-success" TargetMode="External"/><Relationship Id="rId92" Type="http://schemas.openxmlformats.org/officeDocument/2006/relationships/hyperlink" Target="http://www.ramsar.org/sites/default/files/documents/pdf/res/key_res_viii_19_e.pdf" TargetMode="External"/><Relationship Id="rId2" Type="http://schemas.openxmlformats.org/officeDocument/2006/relationships/styles" Target="styles.xml"/><Relationship Id="rId29" Type="http://schemas.openxmlformats.org/officeDocument/2006/relationships/hyperlink" Target="http://www.birdlife.org/datazone/userfiles/file/IBAs/MonitoringPDFs/IBA_Monitoring_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E166-46D9-4864-90C0-08AF4C97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54</Pages>
  <Words>15460</Words>
  <Characters>88124</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Ramsar\BonellsM</dc:creator>
  <cp:lastModifiedBy>Ramsar Secretariat</cp:lastModifiedBy>
  <cp:revision>5</cp:revision>
  <cp:lastPrinted>2015-10-29T11:52:00Z</cp:lastPrinted>
  <dcterms:created xsi:type="dcterms:W3CDTF">2019-03-29T13:09:00Z</dcterms:created>
  <dcterms:modified xsi:type="dcterms:W3CDTF">2019-04-04T10:02:00Z</dcterms:modified>
</cp:coreProperties>
</file>