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789" w:rsidRPr="00917315" w:rsidRDefault="00630789" w:rsidP="00B5352E">
      <w:pPr>
        <w:spacing w:after="0" w:line="240" w:lineRule="auto"/>
        <w:rPr>
          <w:rFonts w:cs="Arial"/>
          <w:b/>
          <w:lang w:val="fr-FR"/>
        </w:rPr>
      </w:pPr>
    </w:p>
    <w:p w:rsidR="0005358A" w:rsidRPr="00EE01B4" w:rsidRDefault="0005358A" w:rsidP="0005358A">
      <w:pPr>
        <w:spacing w:after="0" w:line="240" w:lineRule="auto"/>
        <w:jc w:val="center"/>
        <w:rPr>
          <w:b/>
          <w:sz w:val="24"/>
          <w:szCs w:val="24"/>
          <w:lang w:val="fr-CH"/>
        </w:rPr>
      </w:pPr>
      <w:r w:rsidRPr="00EE01B4">
        <w:rPr>
          <w:b/>
          <w:sz w:val="24"/>
          <w:szCs w:val="24"/>
          <w:lang w:val="fr-CH"/>
        </w:rPr>
        <w:t>Groupe d’évaluation scientifique et technique</w:t>
      </w:r>
    </w:p>
    <w:p w:rsidR="00CF0A9D" w:rsidRPr="00EE01B4" w:rsidRDefault="0005358A" w:rsidP="00CF0A9D">
      <w:pPr>
        <w:spacing w:after="0" w:line="240" w:lineRule="auto"/>
        <w:jc w:val="center"/>
        <w:rPr>
          <w:b/>
          <w:sz w:val="24"/>
          <w:szCs w:val="24"/>
          <w:lang w:val="fr-CH"/>
        </w:rPr>
      </w:pPr>
      <w:r w:rsidRPr="00EE01B4">
        <w:rPr>
          <w:b/>
          <w:sz w:val="24"/>
          <w:szCs w:val="24"/>
          <w:lang w:val="fr-CH"/>
        </w:rPr>
        <w:t xml:space="preserve">Étude </w:t>
      </w:r>
      <w:r w:rsidR="00CF0A9D" w:rsidRPr="00EE01B4">
        <w:rPr>
          <w:b/>
          <w:sz w:val="24"/>
          <w:szCs w:val="24"/>
          <w:lang w:val="fr-CH"/>
        </w:rPr>
        <w:t>des orientations</w:t>
      </w:r>
    </w:p>
    <w:p w:rsidR="0005358A" w:rsidRPr="00EE01B4" w:rsidRDefault="0005358A" w:rsidP="0005358A">
      <w:pPr>
        <w:spacing w:after="0" w:line="240" w:lineRule="auto"/>
        <w:jc w:val="center"/>
        <w:rPr>
          <w:b/>
          <w:sz w:val="24"/>
          <w:szCs w:val="24"/>
          <w:lang w:val="fr-CH"/>
        </w:rPr>
      </w:pPr>
      <w:r w:rsidRPr="00EE01B4">
        <w:rPr>
          <w:b/>
          <w:sz w:val="24"/>
          <w:szCs w:val="24"/>
          <w:lang w:val="fr-CH"/>
        </w:rPr>
        <w:t xml:space="preserve">Mise à jour en 2019 </w:t>
      </w:r>
    </w:p>
    <w:p w:rsidR="0005358A" w:rsidRPr="00EE01B4" w:rsidRDefault="0005358A" w:rsidP="0005358A">
      <w:pPr>
        <w:spacing w:after="0" w:line="240" w:lineRule="auto"/>
        <w:jc w:val="center"/>
        <w:rPr>
          <w:rFonts w:cs="Arial"/>
          <w:b/>
          <w:sz w:val="20"/>
          <w:szCs w:val="20"/>
          <w:lang w:val="fr-CH"/>
        </w:rPr>
      </w:pPr>
    </w:p>
    <w:p w:rsidR="0005358A" w:rsidRPr="00EE01B4" w:rsidRDefault="0005358A" w:rsidP="0005358A">
      <w:pPr>
        <w:pStyle w:val="Default"/>
        <w:rPr>
          <w:rFonts w:asciiTheme="minorHAnsi" w:hAnsiTheme="minorHAnsi"/>
          <w:b/>
          <w:lang w:val="fr-CH"/>
        </w:rPr>
      </w:pPr>
      <w:r w:rsidRPr="00EE01B4">
        <w:rPr>
          <w:rFonts w:asciiTheme="minorHAnsi" w:hAnsiTheme="minorHAnsi"/>
          <w:b/>
          <w:lang w:val="fr-CH"/>
        </w:rPr>
        <w:t xml:space="preserve">Note : </w:t>
      </w:r>
    </w:p>
    <w:p w:rsidR="0005358A" w:rsidRPr="00EE01B4" w:rsidRDefault="0005358A" w:rsidP="0005358A">
      <w:pPr>
        <w:pStyle w:val="Default"/>
        <w:rPr>
          <w:rFonts w:asciiTheme="minorHAnsi" w:hAnsiTheme="minorHAnsi"/>
          <w:b/>
          <w:sz w:val="22"/>
          <w:szCs w:val="22"/>
          <w:lang w:val="fr-CH"/>
        </w:rPr>
      </w:pPr>
    </w:p>
    <w:p w:rsidR="0005358A" w:rsidRPr="00EE01B4" w:rsidRDefault="0005358A" w:rsidP="0005358A">
      <w:pPr>
        <w:pStyle w:val="Default"/>
        <w:rPr>
          <w:rFonts w:asciiTheme="minorHAnsi" w:hAnsiTheme="minorHAnsi"/>
          <w:sz w:val="22"/>
          <w:szCs w:val="22"/>
          <w:lang w:val="fr-CH"/>
        </w:rPr>
      </w:pPr>
      <w:r w:rsidRPr="00EE01B4">
        <w:rPr>
          <w:rFonts w:asciiTheme="minorHAnsi" w:hAnsiTheme="minorHAnsi"/>
          <w:sz w:val="22"/>
          <w:szCs w:val="22"/>
          <w:lang w:val="fr-CH"/>
        </w:rPr>
        <w:t xml:space="preserve">La Résolution XII.5 : </w:t>
      </w:r>
      <w:r w:rsidRPr="00EE01B4">
        <w:rPr>
          <w:rFonts w:asciiTheme="minorHAnsi" w:hAnsiTheme="minorHAnsi"/>
          <w:i/>
          <w:sz w:val="22"/>
          <w:szCs w:val="22"/>
          <w:lang w:val="fr-CH"/>
        </w:rPr>
        <w:t>Nouveau cadre pour la fourniture d’avis et d’orientations scientifiques et techniques à la Convention</w:t>
      </w:r>
      <w:r w:rsidRPr="00EE01B4">
        <w:rPr>
          <w:rFonts w:asciiTheme="minorHAnsi" w:hAnsiTheme="minorHAnsi"/>
          <w:sz w:val="22"/>
          <w:szCs w:val="22"/>
          <w:lang w:val="fr-CH"/>
        </w:rPr>
        <w:t xml:space="preserve"> demande que, lors de l'élaboration de son plan de travail, le GEST entreprenne « une étude des orientations disponibles du GEST et d’autres informations pertinentes » et « consulte les Correspondants nationaux du GEST, le Programme de CESP du Secrétariat et les Conseillers régionaux principaux qui ont la responsabilité d’obtenir des données et des informations auprès des Autorités administratives et des Correspondants nationaux de leurs régions respectives ». L'objectif de l'étude est de s'assurer qu'il n'y a pas de double emploi dans le plan de travail du GEST et d'identifier les lacunes. Le GEST est donc invité à entreprendre une étude au cours de cette période triennale lors de l'élaboration de son plan de travail.</w:t>
      </w:r>
    </w:p>
    <w:p w:rsidR="0005358A" w:rsidRPr="00EE01B4" w:rsidRDefault="0005358A" w:rsidP="0005358A">
      <w:pPr>
        <w:pStyle w:val="Default"/>
        <w:rPr>
          <w:rFonts w:asciiTheme="minorHAnsi" w:hAnsiTheme="minorHAnsi"/>
          <w:sz w:val="22"/>
          <w:szCs w:val="22"/>
          <w:lang w:val="fr-CH"/>
        </w:rPr>
      </w:pPr>
    </w:p>
    <w:p w:rsidR="007150EF" w:rsidRPr="00EE01B4" w:rsidRDefault="00220111" w:rsidP="00220111">
      <w:pPr>
        <w:rPr>
          <w:rFonts w:eastAsia="Times New Roman"/>
        </w:rPr>
      </w:pPr>
      <w:r w:rsidRPr="00EE01B4">
        <w:rPr>
          <w:lang w:val="fr-CH"/>
        </w:rPr>
        <w:t xml:space="preserve">Pour gagner du temps et compte tenu des délais serrés, une mise à jour de l’étude </w:t>
      </w:r>
      <w:r w:rsidR="00DF180B" w:rsidRPr="00EE01B4">
        <w:rPr>
          <w:lang w:val="fr-CH"/>
        </w:rPr>
        <w:t xml:space="preserve">des orientations </w:t>
      </w:r>
      <w:bookmarkStart w:id="0" w:name="_GoBack"/>
      <w:bookmarkEnd w:id="0"/>
      <w:r w:rsidRPr="00EE01B4">
        <w:rPr>
          <w:lang w:val="fr-CH"/>
        </w:rPr>
        <w:t xml:space="preserve">a été entreprise sur la base des travaux entrepris par le Groupe en 2016-2018. </w:t>
      </w:r>
      <w:r w:rsidR="0005358A" w:rsidRPr="00EE01B4">
        <w:rPr>
          <w:lang w:val="fr-CH"/>
        </w:rPr>
        <w:t>L'étude est diffusée pour consultation, avec le projet de plan de travail du GEST (2019-2021) élaboré à sa 22</w:t>
      </w:r>
      <w:r w:rsidR="0005358A" w:rsidRPr="00EE01B4">
        <w:rPr>
          <w:vertAlign w:val="superscript"/>
          <w:lang w:val="fr-CH"/>
        </w:rPr>
        <w:t>e</w:t>
      </w:r>
      <w:r w:rsidR="0005358A" w:rsidRPr="00EE01B4">
        <w:rPr>
          <w:lang w:val="fr-CH"/>
        </w:rPr>
        <w:t xml:space="preserve"> Réunion.   Les résultats du processus de consultation seront intégrés dans l'ébauche de plan de travail et l'étude documentaire, qui seront présentés à la 57</w:t>
      </w:r>
      <w:r w:rsidR="0005358A" w:rsidRPr="00EE01B4">
        <w:rPr>
          <w:vertAlign w:val="superscript"/>
          <w:lang w:val="fr-CH"/>
        </w:rPr>
        <w:t>e</w:t>
      </w:r>
      <w:r w:rsidR="0005358A" w:rsidRPr="00EE01B4">
        <w:rPr>
          <w:lang w:val="fr-CH"/>
        </w:rPr>
        <w:t xml:space="preserve"> réunion du Comité permanent (juin 2019).</w:t>
      </w:r>
    </w:p>
    <w:tbl>
      <w:tblPr>
        <w:tblStyle w:val="TableGrid"/>
        <w:tblW w:w="0" w:type="auto"/>
        <w:tblLayout w:type="fixed"/>
        <w:tblLook w:val="04A0" w:firstRow="1" w:lastRow="0" w:firstColumn="1" w:lastColumn="0" w:noHBand="0" w:noVBand="1"/>
      </w:tblPr>
      <w:tblGrid>
        <w:gridCol w:w="3067"/>
        <w:gridCol w:w="2171"/>
        <w:gridCol w:w="2520"/>
        <w:gridCol w:w="1260"/>
        <w:gridCol w:w="1260"/>
        <w:gridCol w:w="5336"/>
      </w:tblGrid>
      <w:tr w:rsidR="009E1083" w:rsidRPr="00EE01B4" w:rsidTr="001F7B58">
        <w:tc>
          <w:tcPr>
            <w:tcW w:w="15614" w:type="dxa"/>
            <w:gridSpan w:val="6"/>
            <w:shd w:val="clear" w:color="auto" w:fill="FBD4B4" w:themeFill="accent6" w:themeFillTint="66"/>
          </w:tcPr>
          <w:p w:rsidR="009E1083" w:rsidRPr="00EE01B4" w:rsidRDefault="0005358A" w:rsidP="00D45DDB">
            <w:pPr>
              <w:jc w:val="center"/>
              <w:rPr>
                <w:rFonts w:cs="Arial"/>
                <w:b/>
                <w:sz w:val="20"/>
                <w:szCs w:val="20"/>
                <w:lang w:val="fr-FR"/>
              </w:rPr>
            </w:pPr>
            <w:r w:rsidRPr="00EE01B4">
              <w:rPr>
                <w:rFonts w:cs="Arial"/>
                <w:b/>
                <w:sz w:val="20"/>
                <w:szCs w:val="20"/>
                <w:lang w:val="fr-CH"/>
              </w:rPr>
              <w:t>Domaine de travail thématique no 1 :</w:t>
            </w:r>
            <w:r w:rsidRPr="00EE01B4">
              <w:rPr>
                <w:b/>
                <w:sz w:val="20"/>
                <w:szCs w:val="20"/>
                <w:lang w:val="fr-CH"/>
              </w:rPr>
              <w:t xml:space="preserve"> </w:t>
            </w:r>
            <w:r w:rsidR="00220111" w:rsidRPr="00EE01B4">
              <w:rPr>
                <w:b/>
                <w:sz w:val="20"/>
                <w:szCs w:val="20"/>
              </w:rPr>
              <w:t>Méthodologies / outils de bonnes pratiques pour l’identification et le suivi des Sites Ramsar et autres zones humides, notamment les études, la cartographie, les inventaires, et l’analyse mondiale et régionale des priorités en matière de renforcement du réseau de Sites Ramsar</w:t>
            </w:r>
          </w:p>
        </w:tc>
      </w:tr>
      <w:tr w:rsidR="006853E5" w:rsidRPr="00EE01B4" w:rsidTr="001F7B58">
        <w:tc>
          <w:tcPr>
            <w:tcW w:w="3067" w:type="dxa"/>
            <w:shd w:val="clear" w:color="auto" w:fill="FBD4B4" w:themeFill="accent6" w:themeFillTint="66"/>
          </w:tcPr>
          <w:p w:rsidR="006853E5" w:rsidRPr="00EE01B4" w:rsidRDefault="00D45DDB" w:rsidP="003207C6">
            <w:pPr>
              <w:jc w:val="center"/>
              <w:rPr>
                <w:rFonts w:cs="Arial"/>
                <w:b/>
                <w:sz w:val="20"/>
                <w:szCs w:val="20"/>
                <w:lang w:val="fr-FR"/>
              </w:rPr>
            </w:pPr>
            <w:r w:rsidRPr="00EE01B4">
              <w:rPr>
                <w:rFonts w:cs="Arial"/>
                <w:b/>
                <w:sz w:val="20"/>
                <w:szCs w:val="20"/>
                <w:lang w:val="fr-FR"/>
              </w:rPr>
              <w:t>Titre</w:t>
            </w:r>
          </w:p>
        </w:tc>
        <w:tc>
          <w:tcPr>
            <w:tcW w:w="2171" w:type="dxa"/>
            <w:shd w:val="clear" w:color="auto" w:fill="FBD4B4" w:themeFill="accent6" w:themeFillTint="66"/>
          </w:tcPr>
          <w:p w:rsidR="006853E5" w:rsidRPr="00EE01B4" w:rsidRDefault="006853E5" w:rsidP="00D45DDB">
            <w:pPr>
              <w:jc w:val="center"/>
              <w:rPr>
                <w:rFonts w:cs="Arial"/>
                <w:b/>
                <w:sz w:val="20"/>
                <w:szCs w:val="20"/>
                <w:lang w:val="fr-FR"/>
              </w:rPr>
            </w:pPr>
            <w:r w:rsidRPr="00EE01B4">
              <w:rPr>
                <w:rFonts w:cs="Arial"/>
                <w:b/>
                <w:sz w:val="20"/>
                <w:szCs w:val="20"/>
                <w:lang w:val="fr-FR"/>
              </w:rPr>
              <w:t>Ty</w:t>
            </w:r>
            <w:r w:rsidR="00E35FB9" w:rsidRPr="00EE01B4">
              <w:rPr>
                <w:rFonts w:cs="Arial"/>
                <w:b/>
                <w:sz w:val="20"/>
                <w:szCs w:val="20"/>
                <w:lang w:val="fr-FR"/>
              </w:rPr>
              <w:t xml:space="preserve">pe </w:t>
            </w:r>
            <w:r w:rsidR="00D45DDB" w:rsidRPr="00EE01B4">
              <w:rPr>
                <w:rFonts w:cs="Arial"/>
                <w:b/>
                <w:sz w:val="20"/>
                <w:szCs w:val="20"/>
                <w:lang w:val="fr-FR"/>
              </w:rPr>
              <w:t>d’orientation</w:t>
            </w:r>
          </w:p>
        </w:tc>
        <w:tc>
          <w:tcPr>
            <w:tcW w:w="2520" w:type="dxa"/>
            <w:shd w:val="clear" w:color="auto" w:fill="FBD4B4" w:themeFill="accent6" w:themeFillTint="66"/>
          </w:tcPr>
          <w:p w:rsidR="006853E5" w:rsidRPr="00EE01B4" w:rsidRDefault="00D45DDB" w:rsidP="00D45DDB">
            <w:pPr>
              <w:jc w:val="center"/>
              <w:rPr>
                <w:rFonts w:cs="Arial"/>
                <w:b/>
                <w:sz w:val="20"/>
                <w:szCs w:val="20"/>
                <w:lang w:val="fr-FR"/>
              </w:rPr>
            </w:pPr>
            <w:r w:rsidRPr="00EE01B4">
              <w:rPr>
                <w:rFonts w:cs="Arial"/>
                <w:b/>
                <w:sz w:val="20"/>
                <w:szCs w:val="20"/>
                <w:lang w:val="fr-FR"/>
              </w:rPr>
              <w:t>Public</w:t>
            </w:r>
            <w:r w:rsidR="006853E5" w:rsidRPr="00EE01B4">
              <w:rPr>
                <w:rFonts w:cs="Arial"/>
                <w:b/>
                <w:sz w:val="20"/>
                <w:szCs w:val="20"/>
                <w:lang w:val="fr-FR"/>
              </w:rPr>
              <w:t xml:space="preserve"> (</w:t>
            </w:r>
            <w:r w:rsidRPr="00EE01B4">
              <w:rPr>
                <w:rFonts w:cs="Arial"/>
                <w:b/>
                <w:sz w:val="20"/>
                <w:szCs w:val="20"/>
                <w:lang w:val="fr-FR"/>
              </w:rPr>
              <w:t xml:space="preserve">praticiens, décideurs, scientifiques) </w:t>
            </w:r>
          </w:p>
        </w:tc>
        <w:tc>
          <w:tcPr>
            <w:tcW w:w="1260" w:type="dxa"/>
            <w:shd w:val="clear" w:color="auto" w:fill="FBD4B4" w:themeFill="accent6" w:themeFillTint="66"/>
          </w:tcPr>
          <w:p w:rsidR="006853E5" w:rsidRPr="00EE01B4" w:rsidRDefault="00D45DDB" w:rsidP="00D45DDB">
            <w:pPr>
              <w:jc w:val="center"/>
              <w:rPr>
                <w:rFonts w:cs="Arial"/>
                <w:b/>
                <w:sz w:val="20"/>
                <w:szCs w:val="20"/>
                <w:lang w:val="fr-FR"/>
              </w:rPr>
            </w:pPr>
            <w:r w:rsidRPr="00EE01B4">
              <w:rPr>
                <w:rFonts w:cs="Arial"/>
                <w:b/>
                <w:sz w:val="20"/>
                <w:szCs w:val="20"/>
                <w:lang w:val="fr-FR"/>
              </w:rPr>
              <w:t>Manuel Ramsar</w:t>
            </w:r>
          </w:p>
        </w:tc>
        <w:tc>
          <w:tcPr>
            <w:tcW w:w="1260" w:type="dxa"/>
            <w:shd w:val="clear" w:color="auto" w:fill="FBD4B4" w:themeFill="accent6" w:themeFillTint="66"/>
          </w:tcPr>
          <w:p w:rsidR="006853E5" w:rsidRPr="00EE01B4" w:rsidRDefault="00A7029F" w:rsidP="00D45DDB">
            <w:pPr>
              <w:jc w:val="center"/>
              <w:rPr>
                <w:rFonts w:cs="Arial"/>
                <w:b/>
                <w:sz w:val="20"/>
                <w:szCs w:val="20"/>
                <w:lang w:val="fr-FR"/>
              </w:rPr>
            </w:pPr>
            <w:r w:rsidRPr="00EE01B4">
              <w:rPr>
                <w:rFonts w:cs="Arial"/>
                <w:b/>
                <w:sz w:val="20"/>
                <w:szCs w:val="20"/>
                <w:lang w:val="fr-FR"/>
              </w:rPr>
              <w:t>Langue</w:t>
            </w:r>
            <w:r w:rsidR="009E1083" w:rsidRPr="00EE01B4">
              <w:rPr>
                <w:rStyle w:val="FootnoteReference"/>
                <w:rFonts w:cs="Arial"/>
                <w:b/>
                <w:sz w:val="20"/>
                <w:szCs w:val="20"/>
                <w:lang w:val="fr-FR"/>
              </w:rPr>
              <w:footnoteReference w:id="1"/>
            </w:r>
          </w:p>
        </w:tc>
        <w:tc>
          <w:tcPr>
            <w:tcW w:w="5336" w:type="dxa"/>
            <w:shd w:val="clear" w:color="auto" w:fill="FBD4B4" w:themeFill="accent6" w:themeFillTint="66"/>
          </w:tcPr>
          <w:p w:rsidR="006853E5" w:rsidRPr="00EE01B4" w:rsidRDefault="00776522" w:rsidP="003207C6">
            <w:pPr>
              <w:jc w:val="center"/>
              <w:rPr>
                <w:rFonts w:cs="Arial"/>
                <w:b/>
                <w:sz w:val="20"/>
                <w:szCs w:val="20"/>
                <w:lang w:val="fr-FR"/>
              </w:rPr>
            </w:pPr>
            <w:r w:rsidRPr="00EE01B4">
              <w:rPr>
                <w:rFonts w:cs="Arial"/>
                <w:b/>
                <w:sz w:val="20"/>
                <w:szCs w:val="20"/>
                <w:lang w:val="fr-FR"/>
              </w:rPr>
              <w:t>Notes</w:t>
            </w:r>
          </w:p>
        </w:tc>
      </w:tr>
      <w:tr w:rsidR="0095101B" w:rsidRPr="00EE01B4" w:rsidTr="004728C4">
        <w:tc>
          <w:tcPr>
            <w:tcW w:w="15614" w:type="dxa"/>
            <w:gridSpan w:val="6"/>
            <w:shd w:val="clear" w:color="auto" w:fill="F2F2F2" w:themeFill="background1" w:themeFillShade="F2"/>
          </w:tcPr>
          <w:p w:rsidR="0095101B" w:rsidRPr="00EE01B4" w:rsidRDefault="00D45DDB" w:rsidP="00D45DDB">
            <w:pPr>
              <w:spacing w:after="40"/>
              <w:jc w:val="center"/>
              <w:rPr>
                <w:b/>
                <w:sz w:val="20"/>
                <w:szCs w:val="20"/>
                <w:lang w:val="fr-FR"/>
              </w:rPr>
            </w:pPr>
            <w:r w:rsidRPr="00EE01B4">
              <w:rPr>
                <w:b/>
                <w:sz w:val="20"/>
                <w:szCs w:val="20"/>
                <w:lang w:val="fr-FR"/>
              </w:rPr>
              <w:t xml:space="preserve">Orientations </w:t>
            </w:r>
            <w:r w:rsidR="0095101B" w:rsidRPr="00EE01B4">
              <w:rPr>
                <w:b/>
                <w:sz w:val="20"/>
                <w:szCs w:val="20"/>
                <w:lang w:val="fr-FR"/>
              </w:rPr>
              <w:t>Ramsar</w:t>
            </w:r>
          </w:p>
        </w:tc>
      </w:tr>
      <w:tr w:rsidR="0005358A" w:rsidRPr="00EE01B4" w:rsidTr="001F7B58">
        <w:tc>
          <w:tcPr>
            <w:tcW w:w="15614" w:type="dxa"/>
            <w:gridSpan w:val="6"/>
            <w:shd w:val="clear" w:color="auto" w:fill="FBD4B4" w:themeFill="accent6" w:themeFillTint="66"/>
          </w:tcPr>
          <w:p w:rsidR="0005358A" w:rsidRPr="00EE01B4" w:rsidRDefault="0005358A" w:rsidP="0005358A">
            <w:pPr>
              <w:rPr>
                <w:b/>
                <w:sz w:val="20"/>
                <w:szCs w:val="20"/>
                <w:lang w:val="fr-CH"/>
              </w:rPr>
            </w:pPr>
            <w:r w:rsidRPr="00EE01B4">
              <w:rPr>
                <w:b/>
                <w:sz w:val="20"/>
                <w:szCs w:val="20"/>
                <w:lang w:val="fr-CH"/>
              </w:rPr>
              <w:t xml:space="preserve">Mise à jour 2016-2019 </w:t>
            </w:r>
          </w:p>
        </w:tc>
      </w:tr>
      <w:tr w:rsidR="0005358A" w:rsidRPr="00EE01B4" w:rsidTr="004728C4">
        <w:tc>
          <w:tcPr>
            <w:tcW w:w="3067" w:type="dxa"/>
          </w:tcPr>
          <w:p w:rsidR="0005358A" w:rsidRPr="00EE01B4" w:rsidRDefault="0005358A" w:rsidP="0005358A">
            <w:pPr>
              <w:rPr>
                <w:color w:val="0000FF" w:themeColor="hyperlink"/>
                <w:sz w:val="20"/>
                <w:szCs w:val="20"/>
                <w:u w:val="single"/>
                <w:lang w:val="fr-CH"/>
              </w:rPr>
            </w:pPr>
            <w:r w:rsidRPr="00EE01B4">
              <w:rPr>
                <w:lang w:val="en-GB"/>
              </w:rPr>
              <w:fldChar w:fldCharType="begin"/>
            </w:r>
            <w:r w:rsidRPr="00EE01B4">
              <w:rPr>
                <w:sz w:val="20"/>
                <w:szCs w:val="20"/>
                <w:lang w:val="fr-CH"/>
              </w:rPr>
              <w:instrText xml:space="preserve"> HYPERLINK "https://www.ramsar.org/document/briefing-note-9-guidelines-for-inventories-of-tropical-peatlands-to-facilitate-their" </w:instrText>
            </w:r>
            <w:r w:rsidRPr="00EE01B4">
              <w:rPr>
                <w:lang w:val="en-GB"/>
              </w:rPr>
              <w:fldChar w:fldCharType="separate"/>
            </w:r>
            <w:r w:rsidRPr="00EE01B4">
              <w:rPr>
                <w:color w:val="0000FF" w:themeColor="hyperlink"/>
                <w:sz w:val="20"/>
                <w:szCs w:val="20"/>
                <w:u w:val="single"/>
                <w:lang w:val="fr-CH"/>
              </w:rPr>
              <w:t>Note d’information Ramsar n</w:t>
            </w:r>
            <w:r w:rsidRPr="00EE01B4">
              <w:rPr>
                <w:color w:val="0000FF" w:themeColor="hyperlink"/>
                <w:sz w:val="20"/>
                <w:szCs w:val="20"/>
                <w:u w:val="single"/>
                <w:vertAlign w:val="superscript"/>
                <w:lang w:val="fr-CH"/>
              </w:rPr>
              <w:t>o</w:t>
            </w:r>
            <w:r w:rsidRPr="00EE01B4">
              <w:rPr>
                <w:color w:val="0000FF" w:themeColor="hyperlink"/>
                <w:sz w:val="20"/>
                <w:szCs w:val="20"/>
                <w:u w:val="single"/>
                <w:lang w:val="fr-CH"/>
              </w:rPr>
              <w:t xml:space="preserve"> 9 : Lignes directrices sur l’inventaire des </w:t>
            </w:r>
            <w:proofErr w:type="spellStart"/>
            <w:r w:rsidRPr="00EE01B4">
              <w:rPr>
                <w:color w:val="0000FF" w:themeColor="hyperlink"/>
                <w:sz w:val="20"/>
                <w:szCs w:val="20"/>
                <w:u w:val="single"/>
                <w:lang w:val="fr-CH"/>
              </w:rPr>
              <w:t>tourbières</w:t>
            </w:r>
            <w:proofErr w:type="spellEnd"/>
            <w:r w:rsidRPr="00EE01B4">
              <w:rPr>
                <w:color w:val="0000FF" w:themeColor="hyperlink"/>
                <w:sz w:val="20"/>
                <w:szCs w:val="20"/>
                <w:u w:val="single"/>
                <w:lang w:val="fr-CH"/>
              </w:rPr>
              <w:t xml:space="preserve"> tropicales pour faciliter leur inscription sur la Liste de Ramsar</w:t>
            </w:r>
          </w:p>
          <w:p w:rsidR="0005358A" w:rsidRPr="00EE01B4" w:rsidRDefault="0005358A" w:rsidP="0005358A">
            <w:pPr>
              <w:rPr>
                <w:sz w:val="20"/>
                <w:szCs w:val="20"/>
                <w:lang w:val="fr-CH"/>
              </w:rPr>
            </w:pPr>
            <w:r w:rsidRPr="00EE01B4">
              <w:rPr>
                <w:rStyle w:val="Hyperlink"/>
                <w:sz w:val="20"/>
                <w:szCs w:val="20"/>
                <w:lang w:val="fr-CH"/>
              </w:rPr>
              <w:fldChar w:fldCharType="end"/>
            </w:r>
          </w:p>
        </w:tc>
        <w:tc>
          <w:tcPr>
            <w:tcW w:w="2171" w:type="dxa"/>
          </w:tcPr>
          <w:p w:rsidR="0005358A" w:rsidRPr="00EE01B4" w:rsidRDefault="0005358A" w:rsidP="0005358A">
            <w:pPr>
              <w:rPr>
                <w:rFonts w:cs="Arial"/>
                <w:sz w:val="20"/>
                <w:szCs w:val="20"/>
                <w:lang w:val="fr-CH"/>
              </w:rPr>
            </w:pPr>
            <w:r w:rsidRPr="00EE01B4">
              <w:rPr>
                <w:rFonts w:cs="Arial"/>
                <w:sz w:val="20"/>
                <w:szCs w:val="20"/>
                <w:lang w:val="fr-CH"/>
              </w:rPr>
              <w:t xml:space="preserve">Technique </w:t>
            </w:r>
          </w:p>
        </w:tc>
        <w:tc>
          <w:tcPr>
            <w:tcW w:w="2520" w:type="dxa"/>
          </w:tcPr>
          <w:p w:rsidR="0005358A" w:rsidRPr="00EE01B4" w:rsidRDefault="0005358A" w:rsidP="0005358A">
            <w:pPr>
              <w:rPr>
                <w:rFonts w:cs="Arial"/>
                <w:sz w:val="20"/>
                <w:szCs w:val="20"/>
                <w:lang w:val="fr-CH"/>
              </w:rPr>
            </w:pPr>
            <w:r w:rsidRPr="00EE01B4">
              <w:rPr>
                <w:rFonts w:cs="Arial"/>
                <w:sz w:val="20"/>
                <w:szCs w:val="20"/>
                <w:lang w:val="fr-CH"/>
              </w:rPr>
              <w:t xml:space="preserve">Praticiens </w:t>
            </w:r>
          </w:p>
        </w:tc>
        <w:tc>
          <w:tcPr>
            <w:tcW w:w="1260" w:type="dxa"/>
          </w:tcPr>
          <w:p w:rsidR="0005358A" w:rsidRPr="00EE01B4" w:rsidRDefault="0005358A" w:rsidP="0005358A">
            <w:pPr>
              <w:rPr>
                <w:sz w:val="20"/>
                <w:szCs w:val="20"/>
                <w:lang w:val="fr-CH"/>
              </w:rPr>
            </w:pPr>
          </w:p>
        </w:tc>
        <w:tc>
          <w:tcPr>
            <w:tcW w:w="1260" w:type="dxa"/>
          </w:tcPr>
          <w:p w:rsidR="0005358A" w:rsidRPr="00EE01B4" w:rsidRDefault="0005358A" w:rsidP="0005358A">
            <w:pPr>
              <w:rPr>
                <w:sz w:val="20"/>
                <w:szCs w:val="20"/>
                <w:lang w:val="fr-CH"/>
              </w:rPr>
            </w:pPr>
            <w:r w:rsidRPr="00EE01B4">
              <w:rPr>
                <w:sz w:val="20"/>
                <w:szCs w:val="20"/>
                <w:lang w:val="fr-CH"/>
              </w:rPr>
              <w:t>AEF</w:t>
            </w:r>
          </w:p>
        </w:tc>
        <w:tc>
          <w:tcPr>
            <w:tcW w:w="5336" w:type="dxa"/>
          </w:tcPr>
          <w:p w:rsidR="0005358A" w:rsidRPr="00EE01B4" w:rsidRDefault="0005358A" w:rsidP="0005358A">
            <w:pPr>
              <w:rPr>
                <w:sz w:val="20"/>
                <w:szCs w:val="20"/>
                <w:lang w:val="fr-CH"/>
              </w:rPr>
            </w:pPr>
            <w:r w:rsidRPr="00EE01B4">
              <w:rPr>
                <w:sz w:val="20"/>
                <w:szCs w:val="20"/>
                <w:lang w:val="fr-CH"/>
              </w:rPr>
              <w:t xml:space="preserve">Résumé : [La présente note d’information vise </w:t>
            </w:r>
            <w:proofErr w:type="spellStart"/>
            <w:r w:rsidRPr="00EE01B4">
              <w:rPr>
                <w:sz w:val="20"/>
                <w:szCs w:val="20"/>
                <w:lang w:val="fr-CH"/>
              </w:rPr>
              <w:t>a</w:t>
            </w:r>
            <w:proofErr w:type="spellEnd"/>
            <w:r w:rsidRPr="00EE01B4">
              <w:rPr>
                <w:sz w:val="20"/>
                <w:szCs w:val="20"/>
                <w:lang w:val="fr-CH"/>
              </w:rPr>
              <w:t xml:space="preserve">̀ appuyer les gestionnaires des zones humides des pays tropicaux en leur fournissant des orientations </w:t>
            </w:r>
            <w:proofErr w:type="spellStart"/>
            <w:r w:rsidRPr="00EE01B4">
              <w:rPr>
                <w:sz w:val="20"/>
                <w:szCs w:val="20"/>
                <w:lang w:val="fr-CH"/>
              </w:rPr>
              <w:t>étape</w:t>
            </w:r>
            <w:proofErr w:type="spellEnd"/>
            <w:r w:rsidRPr="00EE01B4">
              <w:rPr>
                <w:sz w:val="20"/>
                <w:szCs w:val="20"/>
                <w:lang w:val="fr-CH"/>
              </w:rPr>
              <w:t xml:space="preserve"> par </w:t>
            </w:r>
            <w:proofErr w:type="spellStart"/>
            <w:r w:rsidRPr="00EE01B4">
              <w:rPr>
                <w:sz w:val="20"/>
                <w:szCs w:val="20"/>
                <w:lang w:val="fr-CH"/>
              </w:rPr>
              <w:t>étape</w:t>
            </w:r>
            <w:proofErr w:type="spellEnd"/>
            <w:r w:rsidRPr="00EE01B4">
              <w:rPr>
                <w:sz w:val="20"/>
                <w:szCs w:val="20"/>
                <w:lang w:val="fr-CH"/>
              </w:rPr>
              <w:t xml:space="preserve"> sur la </w:t>
            </w:r>
            <w:proofErr w:type="spellStart"/>
            <w:r w:rsidRPr="00EE01B4">
              <w:rPr>
                <w:sz w:val="20"/>
                <w:szCs w:val="20"/>
                <w:lang w:val="fr-CH"/>
              </w:rPr>
              <w:t>manière</w:t>
            </w:r>
            <w:proofErr w:type="spellEnd"/>
            <w:r w:rsidRPr="00EE01B4">
              <w:rPr>
                <w:sz w:val="20"/>
                <w:szCs w:val="20"/>
                <w:lang w:val="fr-CH"/>
              </w:rPr>
              <w:t xml:space="preserve"> d’identifier, de </w:t>
            </w:r>
            <w:proofErr w:type="spellStart"/>
            <w:r w:rsidRPr="00EE01B4">
              <w:rPr>
                <w:sz w:val="20"/>
                <w:szCs w:val="20"/>
                <w:lang w:val="fr-CH"/>
              </w:rPr>
              <w:t>sélectionner</w:t>
            </w:r>
            <w:proofErr w:type="spellEnd"/>
            <w:r w:rsidRPr="00EE01B4">
              <w:rPr>
                <w:sz w:val="20"/>
                <w:szCs w:val="20"/>
                <w:lang w:val="fr-CH"/>
              </w:rPr>
              <w:t xml:space="preserve"> et d’inventorier les </w:t>
            </w:r>
            <w:proofErr w:type="spellStart"/>
            <w:r w:rsidRPr="00EE01B4">
              <w:rPr>
                <w:sz w:val="20"/>
                <w:szCs w:val="20"/>
                <w:lang w:val="fr-CH"/>
              </w:rPr>
              <w:t>tourbières</w:t>
            </w:r>
            <w:proofErr w:type="spellEnd"/>
            <w:r w:rsidRPr="00EE01B4">
              <w:rPr>
                <w:sz w:val="20"/>
                <w:szCs w:val="20"/>
                <w:lang w:val="fr-CH"/>
              </w:rPr>
              <w:t xml:space="preserve"> tropicales susceptibles d’</w:t>
            </w:r>
            <w:proofErr w:type="spellStart"/>
            <w:r w:rsidRPr="00EE01B4">
              <w:rPr>
                <w:sz w:val="20"/>
                <w:szCs w:val="20"/>
                <w:lang w:val="fr-CH"/>
              </w:rPr>
              <w:t>être</w:t>
            </w:r>
            <w:proofErr w:type="spellEnd"/>
            <w:r w:rsidRPr="00EE01B4">
              <w:rPr>
                <w:sz w:val="20"/>
                <w:szCs w:val="20"/>
                <w:lang w:val="fr-CH"/>
              </w:rPr>
              <w:t xml:space="preserve"> inscrites sur la Liste de Ramsar en utilisant le </w:t>
            </w:r>
            <w:proofErr w:type="spellStart"/>
            <w:r w:rsidRPr="00EE01B4">
              <w:rPr>
                <w:sz w:val="20"/>
                <w:szCs w:val="20"/>
                <w:lang w:val="fr-CH"/>
              </w:rPr>
              <w:t>Critère</w:t>
            </w:r>
            <w:proofErr w:type="spellEnd"/>
            <w:r w:rsidRPr="00EE01B4">
              <w:rPr>
                <w:sz w:val="20"/>
                <w:szCs w:val="20"/>
                <w:lang w:val="fr-CH"/>
              </w:rPr>
              <w:t xml:space="preserve"> 1 (la </w:t>
            </w:r>
            <w:proofErr w:type="spellStart"/>
            <w:r w:rsidRPr="00EE01B4">
              <w:rPr>
                <w:sz w:val="20"/>
                <w:szCs w:val="20"/>
                <w:lang w:val="fr-CH"/>
              </w:rPr>
              <w:t>tourbière</w:t>
            </w:r>
            <w:proofErr w:type="spellEnd"/>
            <w:r w:rsidRPr="00EE01B4">
              <w:rPr>
                <w:sz w:val="20"/>
                <w:szCs w:val="20"/>
                <w:lang w:val="fr-CH"/>
              </w:rPr>
              <w:t xml:space="preserve"> est « un exemple </w:t>
            </w:r>
            <w:proofErr w:type="spellStart"/>
            <w:r w:rsidRPr="00EE01B4">
              <w:rPr>
                <w:sz w:val="20"/>
                <w:szCs w:val="20"/>
                <w:lang w:val="fr-CH"/>
              </w:rPr>
              <w:t>représentatif</w:t>
            </w:r>
            <w:proofErr w:type="spellEnd"/>
            <w:r w:rsidRPr="00EE01B4">
              <w:rPr>
                <w:sz w:val="20"/>
                <w:szCs w:val="20"/>
                <w:lang w:val="fr-CH"/>
              </w:rPr>
              <w:t xml:space="preserve">, rare ou unique de type de zone humide naturelle ou quasi naturelle») incluant un argument additionnel sur la régulation des changements climatiques et </w:t>
            </w:r>
            <w:r w:rsidRPr="00EE01B4">
              <w:rPr>
                <w:sz w:val="20"/>
                <w:szCs w:val="20"/>
                <w:lang w:val="fr-CH"/>
              </w:rPr>
              <w:lastRenderedPageBreak/>
              <w:t xml:space="preserve">la </w:t>
            </w:r>
            <w:proofErr w:type="spellStart"/>
            <w:r w:rsidRPr="00EE01B4">
              <w:rPr>
                <w:sz w:val="20"/>
                <w:szCs w:val="20"/>
                <w:lang w:val="fr-CH"/>
              </w:rPr>
              <w:t>capacite</w:t>
            </w:r>
            <w:proofErr w:type="spellEnd"/>
            <w:r w:rsidRPr="00EE01B4">
              <w:rPr>
                <w:sz w:val="20"/>
                <w:szCs w:val="20"/>
                <w:lang w:val="fr-CH"/>
              </w:rPr>
              <w:t xml:space="preserve">́ de stockage du carbone, et le </w:t>
            </w:r>
            <w:proofErr w:type="spellStart"/>
            <w:r w:rsidRPr="00EE01B4">
              <w:rPr>
                <w:sz w:val="20"/>
                <w:szCs w:val="20"/>
                <w:lang w:val="fr-CH"/>
              </w:rPr>
              <w:t>Critère</w:t>
            </w:r>
            <w:proofErr w:type="spellEnd"/>
            <w:r w:rsidRPr="00EE01B4">
              <w:rPr>
                <w:sz w:val="20"/>
                <w:szCs w:val="20"/>
                <w:lang w:val="fr-CH"/>
              </w:rPr>
              <w:t xml:space="preserve"> 2 (la </w:t>
            </w:r>
            <w:proofErr w:type="spellStart"/>
            <w:r w:rsidRPr="00EE01B4">
              <w:rPr>
                <w:sz w:val="20"/>
                <w:szCs w:val="20"/>
                <w:lang w:val="fr-CH"/>
              </w:rPr>
              <w:t>tourbière</w:t>
            </w:r>
            <w:proofErr w:type="spellEnd"/>
            <w:r w:rsidRPr="00EE01B4">
              <w:rPr>
                <w:sz w:val="20"/>
                <w:szCs w:val="20"/>
                <w:lang w:val="fr-CH"/>
              </w:rPr>
              <w:t xml:space="preserve"> « abrite des </w:t>
            </w:r>
            <w:proofErr w:type="spellStart"/>
            <w:r w:rsidRPr="00EE01B4">
              <w:rPr>
                <w:sz w:val="20"/>
                <w:szCs w:val="20"/>
                <w:lang w:val="fr-CH"/>
              </w:rPr>
              <w:t>espèces</w:t>
            </w:r>
            <w:proofErr w:type="spellEnd"/>
            <w:r w:rsidRPr="00EE01B4">
              <w:rPr>
                <w:sz w:val="20"/>
                <w:szCs w:val="20"/>
                <w:lang w:val="fr-CH"/>
              </w:rPr>
              <w:t xml:space="preserve"> </w:t>
            </w:r>
            <w:proofErr w:type="spellStart"/>
            <w:r w:rsidRPr="00EE01B4">
              <w:rPr>
                <w:sz w:val="20"/>
                <w:szCs w:val="20"/>
                <w:lang w:val="fr-CH"/>
              </w:rPr>
              <w:t>vulnérables</w:t>
            </w:r>
            <w:proofErr w:type="spellEnd"/>
            <w:r w:rsidRPr="00EE01B4">
              <w:rPr>
                <w:sz w:val="20"/>
                <w:szCs w:val="20"/>
                <w:lang w:val="fr-CH"/>
              </w:rPr>
              <w:t xml:space="preserve">, </w:t>
            </w:r>
            <w:proofErr w:type="spellStart"/>
            <w:r w:rsidRPr="00EE01B4">
              <w:rPr>
                <w:sz w:val="20"/>
                <w:szCs w:val="20"/>
                <w:lang w:val="fr-CH"/>
              </w:rPr>
              <w:t>menacées</w:t>
            </w:r>
            <w:proofErr w:type="spellEnd"/>
            <w:r w:rsidRPr="00EE01B4">
              <w:rPr>
                <w:sz w:val="20"/>
                <w:szCs w:val="20"/>
                <w:lang w:val="fr-CH"/>
              </w:rPr>
              <w:t xml:space="preserve"> d’extinction ou gravement </w:t>
            </w:r>
            <w:proofErr w:type="spellStart"/>
            <w:r w:rsidRPr="00EE01B4">
              <w:rPr>
                <w:sz w:val="20"/>
                <w:szCs w:val="20"/>
                <w:lang w:val="fr-CH"/>
              </w:rPr>
              <w:t>menacées</w:t>
            </w:r>
            <w:proofErr w:type="spellEnd"/>
            <w:r w:rsidRPr="00EE01B4">
              <w:rPr>
                <w:sz w:val="20"/>
                <w:szCs w:val="20"/>
                <w:lang w:val="fr-CH"/>
              </w:rPr>
              <w:t xml:space="preserve"> d’extinction ou des </w:t>
            </w:r>
            <w:proofErr w:type="spellStart"/>
            <w:r w:rsidRPr="00EE01B4">
              <w:rPr>
                <w:sz w:val="20"/>
                <w:szCs w:val="20"/>
                <w:lang w:val="fr-CH"/>
              </w:rPr>
              <w:t>communautés</w:t>
            </w:r>
            <w:proofErr w:type="spellEnd"/>
            <w:r w:rsidRPr="00EE01B4">
              <w:rPr>
                <w:sz w:val="20"/>
                <w:szCs w:val="20"/>
                <w:lang w:val="fr-CH"/>
              </w:rPr>
              <w:t xml:space="preserve"> </w:t>
            </w:r>
            <w:proofErr w:type="spellStart"/>
            <w:r w:rsidRPr="00EE01B4">
              <w:rPr>
                <w:sz w:val="20"/>
                <w:szCs w:val="20"/>
                <w:lang w:val="fr-CH"/>
              </w:rPr>
              <w:t>écologiques</w:t>
            </w:r>
            <w:proofErr w:type="spellEnd"/>
            <w:r w:rsidRPr="00EE01B4">
              <w:rPr>
                <w:sz w:val="20"/>
                <w:szCs w:val="20"/>
                <w:lang w:val="fr-CH"/>
              </w:rPr>
              <w:t xml:space="preserve"> </w:t>
            </w:r>
            <w:proofErr w:type="spellStart"/>
            <w:r w:rsidRPr="00EE01B4">
              <w:rPr>
                <w:sz w:val="20"/>
                <w:szCs w:val="20"/>
                <w:lang w:val="fr-CH"/>
              </w:rPr>
              <w:t>menacées</w:t>
            </w:r>
            <w:proofErr w:type="spellEnd"/>
            <w:r w:rsidRPr="00EE01B4">
              <w:rPr>
                <w:sz w:val="20"/>
                <w:szCs w:val="20"/>
                <w:lang w:val="fr-CH"/>
              </w:rPr>
              <w:t>»). ]</w:t>
            </w:r>
          </w:p>
        </w:tc>
      </w:tr>
      <w:tr w:rsidR="0005358A" w:rsidRPr="00EE01B4" w:rsidTr="004728C4">
        <w:tc>
          <w:tcPr>
            <w:tcW w:w="3067" w:type="dxa"/>
          </w:tcPr>
          <w:p w:rsidR="0005358A" w:rsidRPr="00EE01B4" w:rsidRDefault="00DF180B" w:rsidP="0005358A">
            <w:pPr>
              <w:rPr>
                <w:sz w:val="20"/>
                <w:szCs w:val="20"/>
                <w:lang w:val="en-CA"/>
              </w:rPr>
            </w:pPr>
            <w:hyperlink r:id="rId8" w:history="1">
              <w:r w:rsidR="0005358A" w:rsidRPr="00EE01B4">
                <w:rPr>
                  <w:rStyle w:val="Hyperlink"/>
                  <w:sz w:val="20"/>
                  <w:szCs w:val="20"/>
                  <w:lang w:val="en-CA"/>
                </w:rPr>
                <w:t>Ramsar Technical Report 10: The use of Earth Observation for wetland inventory, assessment and monitoring</w:t>
              </w:r>
            </w:hyperlink>
          </w:p>
        </w:tc>
        <w:tc>
          <w:tcPr>
            <w:tcW w:w="2171" w:type="dxa"/>
          </w:tcPr>
          <w:p w:rsidR="0005358A" w:rsidRPr="00EE01B4" w:rsidRDefault="0005358A" w:rsidP="0005358A">
            <w:pPr>
              <w:rPr>
                <w:rFonts w:cs="Arial"/>
                <w:sz w:val="20"/>
                <w:szCs w:val="20"/>
                <w:lang w:val="fr-CH"/>
              </w:rPr>
            </w:pPr>
            <w:r w:rsidRPr="00EE01B4">
              <w:rPr>
                <w:rFonts w:cs="Arial"/>
                <w:sz w:val="20"/>
                <w:szCs w:val="20"/>
                <w:lang w:val="fr-CH"/>
              </w:rPr>
              <w:t>Technique</w:t>
            </w:r>
          </w:p>
        </w:tc>
        <w:tc>
          <w:tcPr>
            <w:tcW w:w="2520" w:type="dxa"/>
          </w:tcPr>
          <w:p w:rsidR="0005358A" w:rsidRPr="00EE01B4" w:rsidRDefault="0005358A" w:rsidP="0005358A">
            <w:pPr>
              <w:rPr>
                <w:rFonts w:cs="Arial"/>
                <w:sz w:val="20"/>
                <w:szCs w:val="20"/>
                <w:lang w:val="fr-CH"/>
              </w:rPr>
            </w:pPr>
            <w:r w:rsidRPr="00EE01B4">
              <w:rPr>
                <w:rFonts w:cs="Arial"/>
                <w:sz w:val="20"/>
                <w:szCs w:val="20"/>
                <w:lang w:val="fr-CH"/>
              </w:rPr>
              <w:t>Praticiens</w:t>
            </w:r>
          </w:p>
        </w:tc>
        <w:tc>
          <w:tcPr>
            <w:tcW w:w="1260" w:type="dxa"/>
          </w:tcPr>
          <w:p w:rsidR="0005358A" w:rsidRPr="00EE01B4" w:rsidRDefault="0005358A" w:rsidP="0005358A">
            <w:pPr>
              <w:rPr>
                <w:sz w:val="20"/>
                <w:szCs w:val="20"/>
                <w:lang w:val="fr-CH"/>
              </w:rPr>
            </w:pPr>
          </w:p>
        </w:tc>
        <w:tc>
          <w:tcPr>
            <w:tcW w:w="1260" w:type="dxa"/>
          </w:tcPr>
          <w:p w:rsidR="0005358A" w:rsidRPr="00EE01B4" w:rsidRDefault="0005358A" w:rsidP="0005358A">
            <w:pPr>
              <w:rPr>
                <w:sz w:val="20"/>
                <w:szCs w:val="20"/>
                <w:lang w:val="fr-CH"/>
              </w:rPr>
            </w:pPr>
            <w:r w:rsidRPr="00EE01B4">
              <w:rPr>
                <w:sz w:val="20"/>
                <w:szCs w:val="20"/>
                <w:lang w:val="fr-CH"/>
              </w:rPr>
              <w:t>E</w:t>
            </w:r>
          </w:p>
        </w:tc>
        <w:tc>
          <w:tcPr>
            <w:tcW w:w="5336" w:type="dxa"/>
          </w:tcPr>
          <w:p w:rsidR="0005358A" w:rsidRPr="00EE01B4" w:rsidRDefault="0005358A" w:rsidP="0005358A">
            <w:pPr>
              <w:rPr>
                <w:sz w:val="20"/>
                <w:szCs w:val="20"/>
                <w:lang w:val="fr-CH"/>
              </w:rPr>
            </w:pPr>
            <w:r w:rsidRPr="00EE01B4">
              <w:rPr>
                <w:sz w:val="20"/>
                <w:szCs w:val="20"/>
                <w:lang w:val="fr-CH"/>
              </w:rPr>
              <w:t>Résumé : Le rapport donne un aperçu de l'application des technologies d'observation de la Terre qui sont actuellement utilisées pour appuyer la mise en œuvre de la Convention, y compris la contribution à son quatrième Plan stratégique (2016-2024) ; un certain nombre d'études de cas actuelles sont présentées.</w:t>
            </w:r>
          </w:p>
        </w:tc>
      </w:tr>
      <w:tr w:rsidR="0005358A" w:rsidRPr="00EE01B4" w:rsidTr="001F7B58">
        <w:tc>
          <w:tcPr>
            <w:tcW w:w="15614" w:type="dxa"/>
            <w:gridSpan w:val="6"/>
            <w:shd w:val="clear" w:color="auto" w:fill="FBD4B4" w:themeFill="accent6" w:themeFillTint="66"/>
          </w:tcPr>
          <w:p w:rsidR="0005358A" w:rsidRPr="00EE01B4" w:rsidRDefault="0005358A" w:rsidP="0005358A">
            <w:pPr>
              <w:spacing w:after="40"/>
              <w:rPr>
                <w:b/>
                <w:sz w:val="20"/>
                <w:szCs w:val="20"/>
                <w:lang w:val="fr-FR"/>
              </w:rPr>
            </w:pPr>
            <w:r w:rsidRPr="00EE01B4">
              <w:rPr>
                <w:b/>
                <w:sz w:val="20"/>
                <w:szCs w:val="20"/>
                <w:lang w:val="fr-FR"/>
              </w:rPr>
              <w:t xml:space="preserve">Jusqu'à 2015 </w:t>
            </w:r>
          </w:p>
        </w:tc>
      </w:tr>
      <w:tr w:rsidR="0005358A" w:rsidRPr="00EE01B4" w:rsidTr="004728C4">
        <w:tc>
          <w:tcPr>
            <w:tcW w:w="3067" w:type="dxa"/>
          </w:tcPr>
          <w:p w:rsidR="0005358A" w:rsidRPr="00EE01B4" w:rsidRDefault="00DF180B" w:rsidP="00B5352E">
            <w:pPr>
              <w:spacing w:after="40"/>
              <w:rPr>
                <w:sz w:val="20"/>
                <w:szCs w:val="20"/>
                <w:lang w:val="fr-FR"/>
              </w:rPr>
            </w:pPr>
            <w:hyperlink r:id="rId9" w:history="1">
              <w:r w:rsidR="0005358A" w:rsidRPr="00EE01B4">
                <w:rPr>
                  <w:rStyle w:val="Hyperlink"/>
                  <w:sz w:val="20"/>
                  <w:szCs w:val="20"/>
                  <w:lang w:val="fr-FR"/>
                </w:rPr>
                <w:t>Résolution XII.15 : Évaluation de l’efficacité de la gestion et de la conservation des Sites Ramsar</w:t>
              </w:r>
            </w:hyperlink>
          </w:p>
        </w:tc>
        <w:tc>
          <w:tcPr>
            <w:tcW w:w="2171" w:type="dxa"/>
          </w:tcPr>
          <w:p w:rsidR="0005358A" w:rsidRPr="00EE01B4" w:rsidRDefault="0005358A" w:rsidP="00B5352E">
            <w:pPr>
              <w:rPr>
                <w:rFonts w:cs="Arial"/>
                <w:sz w:val="20"/>
                <w:szCs w:val="20"/>
                <w:lang w:val="fr-FR"/>
              </w:rPr>
            </w:pPr>
            <w:r w:rsidRPr="00EE01B4">
              <w:rPr>
                <w:rFonts w:cs="Arial"/>
                <w:sz w:val="20"/>
                <w:szCs w:val="20"/>
                <w:lang w:val="fr-FR"/>
              </w:rPr>
              <w:t>Technique</w:t>
            </w:r>
          </w:p>
        </w:tc>
        <w:tc>
          <w:tcPr>
            <w:tcW w:w="2520" w:type="dxa"/>
          </w:tcPr>
          <w:p w:rsidR="0005358A" w:rsidRPr="00EE01B4" w:rsidRDefault="0005358A" w:rsidP="00B5352E">
            <w:pPr>
              <w:rPr>
                <w:rFonts w:cs="Arial"/>
                <w:sz w:val="20"/>
                <w:szCs w:val="20"/>
                <w:lang w:val="fr-FR"/>
              </w:rPr>
            </w:pPr>
            <w:r w:rsidRPr="00EE01B4">
              <w:rPr>
                <w:rFonts w:cs="Arial"/>
                <w:sz w:val="20"/>
                <w:szCs w:val="20"/>
                <w:lang w:val="fr-FR"/>
              </w:rPr>
              <w:t>Praticiens</w:t>
            </w:r>
          </w:p>
        </w:tc>
        <w:tc>
          <w:tcPr>
            <w:tcW w:w="1260" w:type="dxa"/>
          </w:tcPr>
          <w:p w:rsidR="0005358A" w:rsidRPr="00EE01B4" w:rsidRDefault="0005358A" w:rsidP="00B5352E">
            <w:pPr>
              <w:spacing w:after="40"/>
              <w:rPr>
                <w:sz w:val="20"/>
                <w:szCs w:val="20"/>
                <w:lang w:val="fr-FR"/>
              </w:rPr>
            </w:pPr>
            <w:r w:rsidRPr="00EE01B4">
              <w:rPr>
                <w:sz w:val="20"/>
                <w:szCs w:val="20"/>
                <w:lang w:val="fr-FR"/>
              </w:rPr>
              <w:t>Pas encore inclus dans un Manuel</w:t>
            </w:r>
          </w:p>
        </w:tc>
        <w:tc>
          <w:tcPr>
            <w:tcW w:w="1260" w:type="dxa"/>
          </w:tcPr>
          <w:p w:rsidR="0005358A" w:rsidRPr="00EE01B4" w:rsidRDefault="0005358A" w:rsidP="00B5352E">
            <w:pPr>
              <w:spacing w:after="40"/>
              <w:rPr>
                <w:sz w:val="20"/>
                <w:szCs w:val="20"/>
                <w:lang w:val="fr-FR"/>
              </w:rPr>
            </w:pPr>
            <w:r w:rsidRPr="00EE01B4">
              <w:rPr>
                <w:sz w:val="20"/>
                <w:szCs w:val="20"/>
                <w:lang w:val="fr-FR"/>
              </w:rPr>
              <w:t>EFS</w:t>
            </w:r>
          </w:p>
        </w:tc>
        <w:tc>
          <w:tcPr>
            <w:tcW w:w="5336" w:type="dxa"/>
          </w:tcPr>
          <w:p w:rsidR="0005358A" w:rsidRPr="00EE01B4" w:rsidRDefault="0005358A" w:rsidP="00B5352E">
            <w:pPr>
              <w:spacing w:after="40"/>
              <w:rPr>
                <w:sz w:val="20"/>
                <w:szCs w:val="20"/>
                <w:lang w:val="fr-FR"/>
              </w:rPr>
            </w:pPr>
          </w:p>
        </w:tc>
      </w:tr>
      <w:tr w:rsidR="0005358A" w:rsidRPr="00EE01B4" w:rsidTr="004728C4">
        <w:tc>
          <w:tcPr>
            <w:tcW w:w="3067" w:type="dxa"/>
          </w:tcPr>
          <w:p w:rsidR="0005358A" w:rsidRPr="00EE01B4" w:rsidRDefault="00DF180B" w:rsidP="00B5352E">
            <w:pPr>
              <w:spacing w:after="40"/>
              <w:rPr>
                <w:sz w:val="20"/>
                <w:szCs w:val="20"/>
                <w:lang w:val="fr-FR"/>
              </w:rPr>
            </w:pPr>
            <w:hyperlink r:id="rId10" w:history="1">
              <w:r w:rsidR="0005358A" w:rsidRPr="00EE01B4">
                <w:rPr>
                  <w:rStyle w:val="Hyperlink"/>
                  <w:sz w:val="20"/>
                  <w:szCs w:val="20"/>
                  <w:lang w:val="fr-FR"/>
                </w:rPr>
                <w:t>Résolution XI.12 : Les zones humides et la santé : adopter une approche par écosystème</w:t>
              </w:r>
            </w:hyperlink>
          </w:p>
        </w:tc>
        <w:tc>
          <w:tcPr>
            <w:tcW w:w="2171" w:type="dxa"/>
          </w:tcPr>
          <w:p w:rsidR="0005358A" w:rsidRPr="00EE01B4" w:rsidRDefault="0005358A" w:rsidP="00B5352E">
            <w:pPr>
              <w:rPr>
                <w:rFonts w:cs="Arial"/>
                <w:sz w:val="20"/>
                <w:szCs w:val="20"/>
                <w:lang w:val="fr-FR"/>
              </w:rPr>
            </w:pPr>
            <w:r w:rsidRPr="00EE01B4">
              <w:rPr>
                <w:rFonts w:cs="Arial"/>
                <w:sz w:val="20"/>
                <w:szCs w:val="20"/>
                <w:lang w:val="fr-FR"/>
              </w:rPr>
              <w:t>Technique</w:t>
            </w:r>
          </w:p>
        </w:tc>
        <w:tc>
          <w:tcPr>
            <w:tcW w:w="2520" w:type="dxa"/>
          </w:tcPr>
          <w:p w:rsidR="0005358A" w:rsidRPr="00EE01B4" w:rsidRDefault="0005358A" w:rsidP="00D45DDB">
            <w:pPr>
              <w:rPr>
                <w:rFonts w:cs="Arial"/>
                <w:sz w:val="20"/>
                <w:szCs w:val="20"/>
                <w:lang w:val="fr-FR"/>
              </w:rPr>
            </w:pPr>
            <w:r w:rsidRPr="00EE01B4">
              <w:rPr>
                <w:rFonts w:cs="Arial"/>
                <w:sz w:val="20"/>
                <w:szCs w:val="20"/>
                <w:lang w:val="fr-FR"/>
              </w:rPr>
              <w:t>Décideurs, praticiens</w:t>
            </w:r>
          </w:p>
        </w:tc>
        <w:tc>
          <w:tcPr>
            <w:tcW w:w="1260" w:type="dxa"/>
          </w:tcPr>
          <w:p w:rsidR="0005358A" w:rsidRPr="00EE01B4" w:rsidRDefault="0005358A" w:rsidP="00B5352E">
            <w:pPr>
              <w:spacing w:after="40"/>
              <w:rPr>
                <w:sz w:val="20"/>
                <w:szCs w:val="20"/>
                <w:lang w:val="fr-FR"/>
              </w:rPr>
            </w:pPr>
            <w:r w:rsidRPr="00EE01B4">
              <w:rPr>
                <w:sz w:val="20"/>
                <w:szCs w:val="20"/>
                <w:lang w:val="fr-FR"/>
              </w:rPr>
              <w:t>Pas encore inclus dans un Manuel</w:t>
            </w:r>
          </w:p>
        </w:tc>
        <w:tc>
          <w:tcPr>
            <w:tcW w:w="1260" w:type="dxa"/>
          </w:tcPr>
          <w:p w:rsidR="0005358A" w:rsidRPr="00EE01B4" w:rsidRDefault="0005358A" w:rsidP="00B5352E">
            <w:pPr>
              <w:spacing w:after="40"/>
              <w:rPr>
                <w:sz w:val="20"/>
                <w:szCs w:val="20"/>
                <w:lang w:val="fr-FR"/>
              </w:rPr>
            </w:pPr>
            <w:r w:rsidRPr="00EE01B4">
              <w:rPr>
                <w:sz w:val="20"/>
                <w:szCs w:val="20"/>
                <w:lang w:val="fr-FR"/>
              </w:rPr>
              <w:t>EFS</w:t>
            </w:r>
          </w:p>
        </w:tc>
        <w:tc>
          <w:tcPr>
            <w:tcW w:w="5336" w:type="dxa"/>
          </w:tcPr>
          <w:p w:rsidR="0005358A" w:rsidRPr="00EE01B4" w:rsidRDefault="0005358A" w:rsidP="00B5352E">
            <w:pPr>
              <w:spacing w:after="40"/>
              <w:rPr>
                <w:sz w:val="20"/>
                <w:szCs w:val="20"/>
                <w:lang w:val="fr-FR"/>
              </w:rPr>
            </w:pPr>
          </w:p>
        </w:tc>
      </w:tr>
      <w:tr w:rsidR="0005358A" w:rsidRPr="00EE01B4" w:rsidTr="004728C4">
        <w:tc>
          <w:tcPr>
            <w:tcW w:w="3067" w:type="dxa"/>
          </w:tcPr>
          <w:p w:rsidR="0005358A" w:rsidRPr="00EE01B4" w:rsidRDefault="00DF180B" w:rsidP="00B5352E">
            <w:pPr>
              <w:spacing w:after="40"/>
              <w:rPr>
                <w:sz w:val="20"/>
                <w:szCs w:val="20"/>
                <w:lang w:val="fr-FR"/>
              </w:rPr>
            </w:pPr>
            <w:hyperlink r:id="rId11" w:history="1">
              <w:r w:rsidR="0005358A" w:rsidRPr="00EE01B4">
                <w:rPr>
                  <w:rStyle w:val="Hyperlink"/>
                  <w:sz w:val="20"/>
                  <w:szCs w:val="20"/>
                  <w:lang w:val="fr-FR"/>
                </w:rPr>
                <w:t>Résolution X.15 : Description des caractéristiques écologiques des zones humides, et besoins et présentation des données pour un inventaire de base : orientations scientifiques et techniques</w:t>
              </w:r>
            </w:hyperlink>
          </w:p>
        </w:tc>
        <w:tc>
          <w:tcPr>
            <w:tcW w:w="2171" w:type="dxa"/>
          </w:tcPr>
          <w:p w:rsidR="0005358A" w:rsidRPr="00EE01B4" w:rsidRDefault="0005358A" w:rsidP="00D45DDB">
            <w:pPr>
              <w:rPr>
                <w:rFonts w:cs="Arial"/>
                <w:sz w:val="20"/>
                <w:szCs w:val="20"/>
                <w:lang w:val="fr-FR"/>
              </w:rPr>
            </w:pPr>
            <w:r w:rsidRPr="00EE01B4">
              <w:rPr>
                <w:rFonts w:cs="Arial"/>
                <w:sz w:val="20"/>
                <w:szCs w:val="20"/>
                <w:lang w:val="fr-FR"/>
              </w:rPr>
              <w:t>Scientifique/ Technique</w:t>
            </w:r>
          </w:p>
        </w:tc>
        <w:tc>
          <w:tcPr>
            <w:tcW w:w="2520" w:type="dxa"/>
          </w:tcPr>
          <w:p w:rsidR="0005358A" w:rsidRPr="00EE01B4" w:rsidRDefault="0005358A" w:rsidP="00D45DDB">
            <w:pPr>
              <w:rPr>
                <w:rFonts w:cs="Arial"/>
                <w:sz w:val="20"/>
                <w:szCs w:val="20"/>
                <w:lang w:val="fr-FR"/>
              </w:rPr>
            </w:pPr>
            <w:r w:rsidRPr="00EE01B4">
              <w:rPr>
                <w:rFonts w:cs="Arial"/>
                <w:sz w:val="20"/>
                <w:szCs w:val="20"/>
                <w:lang w:val="fr-FR"/>
              </w:rPr>
              <w:t>Scientifiques, praticiens</w:t>
            </w:r>
          </w:p>
        </w:tc>
        <w:tc>
          <w:tcPr>
            <w:tcW w:w="1260" w:type="dxa"/>
          </w:tcPr>
          <w:p w:rsidR="0005358A" w:rsidRPr="00EE01B4" w:rsidRDefault="0005358A" w:rsidP="00B5352E">
            <w:pPr>
              <w:spacing w:after="40"/>
              <w:rPr>
                <w:sz w:val="20"/>
                <w:szCs w:val="20"/>
                <w:lang w:val="fr-FR"/>
              </w:rPr>
            </w:pPr>
            <w:r w:rsidRPr="00EE01B4">
              <w:rPr>
                <w:sz w:val="20"/>
                <w:szCs w:val="20"/>
                <w:lang w:val="fr-FR"/>
              </w:rPr>
              <w:t>13, 15, 14, 18, 19</w:t>
            </w:r>
          </w:p>
          <w:p w:rsidR="0005358A" w:rsidRPr="00EE01B4" w:rsidRDefault="0005358A" w:rsidP="00B5352E">
            <w:pPr>
              <w:spacing w:after="40"/>
              <w:rPr>
                <w:sz w:val="20"/>
                <w:szCs w:val="20"/>
                <w:lang w:val="fr-FR"/>
              </w:rPr>
            </w:pPr>
          </w:p>
        </w:tc>
        <w:tc>
          <w:tcPr>
            <w:tcW w:w="1260" w:type="dxa"/>
          </w:tcPr>
          <w:p w:rsidR="0005358A" w:rsidRPr="00EE01B4" w:rsidRDefault="0005358A" w:rsidP="00B5352E">
            <w:pPr>
              <w:spacing w:after="40"/>
              <w:rPr>
                <w:sz w:val="20"/>
                <w:szCs w:val="20"/>
                <w:lang w:val="fr-FR"/>
              </w:rPr>
            </w:pPr>
            <w:r w:rsidRPr="00EE01B4">
              <w:rPr>
                <w:sz w:val="20"/>
                <w:szCs w:val="20"/>
                <w:lang w:val="fr-FR"/>
              </w:rPr>
              <w:t>EFS</w:t>
            </w:r>
          </w:p>
        </w:tc>
        <w:tc>
          <w:tcPr>
            <w:tcW w:w="5336" w:type="dxa"/>
          </w:tcPr>
          <w:p w:rsidR="0005358A" w:rsidRPr="00EE01B4" w:rsidRDefault="0005358A" w:rsidP="00B5352E">
            <w:pPr>
              <w:spacing w:after="40"/>
              <w:rPr>
                <w:color w:val="0000FF" w:themeColor="hyperlink"/>
                <w:sz w:val="20"/>
                <w:szCs w:val="20"/>
                <w:u w:val="single"/>
                <w:lang w:val="fr-FR"/>
              </w:rPr>
            </w:pPr>
          </w:p>
        </w:tc>
      </w:tr>
      <w:tr w:rsidR="0005358A" w:rsidRPr="00EE01B4" w:rsidTr="004728C4">
        <w:tc>
          <w:tcPr>
            <w:tcW w:w="3067" w:type="dxa"/>
          </w:tcPr>
          <w:p w:rsidR="0005358A" w:rsidRPr="00EE01B4" w:rsidRDefault="00DF180B" w:rsidP="002349FB">
            <w:pPr>
              <w:rPr>
                <w:sz w:val="20"/>
                <w:szCs w:val="20"/>
                <w:lang w:val="fr-FR"/>
              </w:rPr>
            </w:pPr>
            <w:hyperlink r:id="rId12" w:history="1">
              <w:r w:rsidR="0005358A" w:rsidRPr="00EE01B4">
                <w:rPr>
                  <w:rStyle w:val="Hyperlink"/>
                  <w:sz w:val="20"/>
                  <w:szCs w:val="20"/>
                  <w:lang w:val="fr-FR"/>
                </w:rPr>
                <w:t>Résolution X.16 : Cadre pour les procédures de détection de changements dans les caractéristiques écologiques des zones humides, d’établissement de rapports et de réaction</w:t>
              </w:r>
            </w:hyperlink>
          </w:p>
        </w:tc>
        <w:tc>
          <w:tcPr>
            <w:tcW w:w="2171" w:type="dxa"/>
          </w:tcPr>
          <w:p w:rsidR="0005358A" w:rsidRPr="00EE01B4" w:rsidRDefault="0005358A" w:rsidP="002349FB">
            <w:pPr>
              <w:rPr>
                <w:sz w:val="20"/>
                <w:szCs w:val="20"/>
                <w:lang w:val="fr-FR"/>
              </w:rPr>
            </w:pPr>
            <w:r w:rsidRPr="00EE01B4">
              <w:rPr>
                <w:sz w:val="20"/>
                <w:szCs w:val="20"/>
                <w:lang w:val="fr-FR"/>
              </w:rPr>
              <w:t>Résolution X.16 : Cadre pour les procédures de détection de changements dans les caractéristiques écologiques des zones humides, d’établissement de rapports et de réaction</w:t>
            </w:r>
          </w:p>
        </w:tc>
        <w:tc>
          <w:tcPr>
            <w:tcW w:w="2520" w:type="dxa"/>
          </w:tcPr>
          <w:p w:rsidR="0005358A" w:rsidRPr="00EE01B4" w:rsidRDefault="0005358A" w:rsidP="00D45DDB">
            <w:pPr>
              <w:rPr>
                <w:rFonts w:cs="Arial"/>
                <w:sz w:val="20"/>
                <w:szCs w:val="20"/>
                <w:lang w:val="fr-FR"/>
              </w:rPr>
            </w:pPr>
            <w:r w:rsidRPr="00EE01B4">
              <w:rPr>
                <w:rFonts w:cs="Arial"/>
                <w:sz w:val="20"/>
                <w:szCs w:val="20"/>
                <w:lang w:val="fr-FR"/>
              </w:rPr>
              <w:t>Praticiens, décideurs</w:t>
            </w:r>
          </w:p>
        </w:tc>
        <w:tc>
          <w:tcPr>
            <w:tcW w:w="1260" w:type="dxa"/>
          </w:tcPr>
          <w:p w:rsidR="0005358A" w:rsidRPr="00EE01B4" w:rsidRDefault="0005358A" w:rsidP="002349FB">
            <w:pPr>
              <w:spacing w:after="40"/>
              <w:rPr>
                <w:sz w:val="20"/>
                <w:szCs w:val="20"/>
                <w:lang w:val="fr-FR"/>
              </w:rPr>
            </w:pPr>
            <w:r w:rsidRPr="00EE01B4">
              <w:rPr>
                <w:sz w:val="20"/>
                <w:szCs w:val="20"/>
                <w:lang w:val="fr-FR"/>
              </w:rPr>
              <w:t>13, 14, 16, 19,</w:t>
            </w:r>
          </w:p>
        </w:tc>
        <w:tc>
          <w:tcPr>
            <w:tcW w:w="1260" w:type="dxa"/>
          </w:tcPr>
          <w:p w:rsidR="0005358A" w:rsidRPr="00EE01B4" w:rsidRDefault="0005358A" w:rsidP="002349FB">
            <w:pPr>
              <w:spacing w:after="40"/>
              <w:rPr>
                <w:sz w:val="20"/>
                <w:szCs w:val="20"/>
                <w:lang w:val="fr-FR"/>
              </w:rPr>
            </w:pPr>
            <w:r w:rsidRPr="00EE01B4">
              <w:rPr>
                <w:sz w:val="20"/>
                <w:szCs w:val="20"/>
                <w:lang w:val="fr-FR"/>
              </w:rPr>
              <w:t>EFS</w:t>
            </w:r>
          </w:p>
        </w:tc>
        <w:tc>
          <w:tcPr>
            <w:tcW w:w="5336" w:type="dxa"/>
          </w:tcPr>
          <w:p w:rsidR="0005358A" w:rsidRPr="00EE01B4" w:rsidRDefault="0005358A" w:rsidP="002349FB">
            <w:pPr>
              <w:spacing w:after="40"/>
              <w:rPr>
                <w:sz w:val="20"/>
                <w:szCs w:val="20"/>
                <w:lang w:val="fr-FR"/>
              </w:rPr>
            </w:pPr>
          </w:p>
        </w:tc>
      </w:tr>
      <w:tr w:rsidR="0005358A" w:rsidRPr="00EE01B4" w:rsidTr="004728C4">
        <w:tc>
          <w:tcPr>
            <w:tcW w:w="3067" w:type="dxa"/>
          </w:tcPr>
          <w:p w:rsidR="0005358A" w:rsidRPr="00EE01B4" w:rsidRDefault="00DF180B" w:rsidP="00B5352E">
            <w:pPr>
              <w:spacing w:after="40"/>
              <w:rPr>
                <w:sz w:val="20"/>
                <w:szCs w:val="20"/>
                <w:lang w:val="fr-FR"/>
              </w:rPr>
            </w:pPr>
            <w:hyperlink r:id="rId13" w:history="1">
              <w:r w:rsidR="0005358A" w:rsidRPr="00EE01B4">
                <w:rPr>
                  <w:rStyle w:val="Hyperlink"/>
                  <w:sz w:val="20"/>
                  <w:szCs w:val="20"/>
                  <w:lang w:val="fr-FR"/>
                </w:rPr>
                <w:t>Résolution X.21 : Orientations relatives à la lutte contre la propagation continue de l’influenza aviaire hautement pathogène</w:t>
              </w:r>
            </w:hyperlink>
          </w:p>
        </w:tc>
        <w:tc>
          <w:tcPr>
            <w:tcW w:w="2171" w:type="dxa"/>
          </w:tcPr>
          <w:p w:rsidR="0005358A" w:rsidRPr="00EE01B4" w:rsidRDefault="0005358A" w:rsidP="00B5352E">
            <w:pPr>
              <w:rPr>
                <w:rFonts w:cs="Arial"/>
                <w:sz w:val="20"/>
                <w:szCs w:val="20"/>
                <w:lang w:val="fr-FR"/>
              </w:rPr>
            </w:pPr>
            <w:r w:rsidRPr="00EE01B4">
              <w:rPr>
                <w:rFonts w:cs="Arial"/>
                <w:sz w:val="20"/>
                <w:szCs w:val="20"/>
                <w:lang w:val="fr-FR"/>
              </w:rPr>
              <w:t>Scientifique/</w:t>
            </w:r>
          </w:p>
          <w:p w:rsidR="0005358A" w:rsidRPr="00EE01B4" w:rsidRDefault="0005358A" w:rsidP="00B5352E">
            <w:pPr>
              <w:rPr>
                <w:rFonts w:cs="Arial"/>
                <w:sz w:val="20"/>
                <w:szCs w:val="20"/>
                <w:lang w:val="fr-FR"/>
              </w:rPr>
            </w:pPr>
            <w:r w:rsidRPr="00EE01B4">
              <w:rPr>
                <w:rFonts w:cs="Arial"/>
                <w:sz w:val="20"/>
                <w:szCs w:val="20"/>
                <w:lang w:val="fr-FR"/>
              </w:rPr>
              <w:t>Technique</w:t>
            </w:r>
          </w:p>
        </w:tc>
        <w:tc>
          <w:tcPr>
            <w:tcW w:w="2520" w:type="dxa"/>
          </w:tcPr>
          <w:p w:rsidR="0005358A" w:rsidRPr="00EE01B4" w:rsidRDefault="0005358A" w:rsidP="00B5352E">
            <w:pPr>
              <w:rPr>
                <w:rFonts w:cs="Arial"/>
                <w:sz w:val="20"/>
                <w:szCs w:val="20"/>
                <w:lang w:val="fr-FR"/>
              </w:rPr>
            </w:pPr>
            <w:r w:rsidRPr="00EE01B4">
              <w:rPr>
                <w:rFonts w:cs="Arial"/>
                <w:sz w:val="20"/>
                <w:szCs w:val="20"/>
                <w:lang w:val="fr-FR"/>
              </w:rPr>
              <w:t>Scientifiques</w:t>
            </w:r>
          </w:p>
        </w:tc>
        <w:tc>
          <w:tcPr>
            <w:tcW w:w="1260" w:type="dxa"/>
          </w:tcPr>
          <w:p w:rsidR="0005358A" w:rsidRPr="00EE01B4" w:rsidRDefault="0005358A" w:rsidP="00B5352E">
            <w:pPr>
              <w:spacing w:after="40"/>
              <w:rPr>
                <w:sz w:val="20"/>
                <w:szCs w:val="20"/>
                <w:lang w:val="fr-FR"/>
              </w:rPr>
            </w:pPr>
            <w:r w:rsidRPr="00EE01B4">
              <w:rPr>
                <w:sz w:val="20"/>
                <w:szCs w:val="20"/>
                <w:lang w:val="fr-FR"/>
              </w:rPr>
              <w:t>4, 1</w:t>
            </w:r>
          </w:p>
        </w:tc>
        <w:tc>
          <w:tcPr>
            <w:tcW w:w="1260" w:type="dxa"/>
          </w:tcPr>
          <w:p w:rsidR="0005358A" w:rsidRPr="00EE01B4" w:rsidRDefault="0005358A" w:rsidP="00B5352E">
            <w:pPr>
              <w:spacing w:after="40"/>
              <w:rPr>
                <w:sz w:val="20"/>
                <w:szCs w:val="20"/>
                <w:lang w:val="fr-FR"/>
              </w:rPr>
            </w:pPr>
            <w:r w:rsidRPr="00EE01B4">
              <w:rPr>
                <w:sz w:val="20"/>
                <w:szCs w:val="20"/>
                <w:lang w:val="fr-FR"/>
              </w:rPr>
              <w:t>EFS</w:t>
            </w:r>
          </w:p>
        </w:tc>
        <w:tc>
          <w:tcPr>
            <w:tcW w:w="5336" w:type="dxa"/>
          </w:tcPr>
          <w:p w:rsidR="0005358A" w:rsidRPr="00EE01B4" w:rsidRDefault="0005358A" w:rsidP="00B5352E">
            <w:pPr>
              <w:spacing w:after="40"/>
              <w:rPr>
                <w:sz w:val="20"/>
                <w:szCs w:val="20"/>
                <w:lang w:val="fr-FR"/>
              </w:rPr>
            </w:pPr>
          </w:p>
        </w:tc>
      </w:tr>
      <w:tr w:rsidR="0005358A" w:rsidRPr="00EE01B4" w:rsidTr="004728C4">
        <w:tc>
          <w:tcPr>
            <w:tcW w:w="3067" w:type="dxa"/>
          </w:tcPr>
          <w:p w:rsidR="0005358A" w:rsidRPr="00EE01B4" w:rsidRDefault="0005358A" w:rsidP="00DD22B1">
            <w:pPr>
              <w:spacing w:after="40"/>
              <w:rPr>
                <w:rStyle w:val="Hyperlink"/>
                <w:sz w:val="20"/>
                <w:szCs w:val="20"/>
                <w:lang w:val="fr-FR"/>
              </w:rPr>
            </w:pPr>
            <w:r w:rsidRPr="00EE01B4">
              <w:rPr>
                <w:sz w:val="20"/>
                <w:szCs w:val="20"/>
                <w:lang w:val="fr-FR"/>
              </w:rPr>
              <w:lastRenderedPageBreak/>
              <w:fldChar w:fldCharType="begin"/>
            </w:r>
            <w:r w:rsidRPr="00EE01B4">
              <w:rPr>
                <w:sz w:val="20"/>
                <w:szCs w:val="20"/>
                <w:lang w:val="fr-FR"/>
              </w:rPr>
              <w:instrText xml:space="preserve"> HYPERLINK "http://www.ramsar.org/sites/default/files/documents/pdf/res/key_res_ix_01_annexd_f.pdf" </w:instrText>
            </w:r>
            <w:r w:rsidRPr="00EE01B4">
              <w:rPr>
                <w:sz w:val="20"/>
                <w:szCs w:val="20"/>
                <w:lang w:val="fr-FR"/>
              </w:rPr>
              <w:fldChar w:fldCharType="separate"/>
            </w:r>
            <w:r w:rsidRPr="00EE01B4">
              <w:rPr>
                <w:rStyle w:val="Hyperlink"/>
                <w:sz w:val="20"/>
                <w:szCs w:val="20"/>
                <w:lang w:val="fr-FR"/>
              </w:rPr>
              <w:t>Résolution IX.1, Annexe D : Indicateurs écologiques « axés sur les résultats » pour évaluer l’application</w:t>
            </w:r>
          </w:p>
          <w:p w:rsidR="0005358A" w:rsidRPr="00EE01B4" w:rsidRDefault="0005358A" w:rsidP="00DD22B1">
            <w:pPr>
              <w:spacing w:after="40"/>
              <w:rPr>
                <w:sz w:val="20"/>
                <w:szCs w:val="20"/>
                <w:lang w:val="fr-FR"/>
              </w:rPr>
            </w:pPr>
            <w:r w:rsidRPr="00EE01B4">
              <w:rPr>
                <w:rStyle w:val="Hyperlink"/>
                <w:sz w:val="20"/>
                <w:szCs w:val="20"/>
                <w:lang w:val="fr-FR"/>
              </w:rPr>
              <w:t>de l’application de la Convention de Ramsar</w:t>
            </w:r>
            <w:r w:rsidRPr="00EE01B4">
              <w:rPr>
                <w:sz w:val="20"/>
                <w:szCs w:val="20"/>
                <w:lang w:val="fr-FR"/>
              </w:rPr>
              <w:fldChar w:fldCharType="end"/>
            </w:r>
            <w:r w:rsidRPr="00EE01B4">
              <w:rPr>
                <w:sz w:val="20"/>
                <w:szCs w:val="20"/>
                <w:lang w:val="fr-FR"/>
              </w:rPr>
              <w:t xml:space="preserve"> </w:t>
            </w:r>
          </w:p>
        </w:tc>
        <w:tc>
          <w:tcPr>
            <w:tcW w:w="2171" w:type="dxa"/>
          </w:tcPr>
          <w:p w:rsidR="0005358A" w:rsidRPr="00EE01B4" w:rsidRDefault="0005358A" w:rsidP="00D45DDB">
            <w:pPr>
              <w:rPr>
                <w:rFonts w:cs="Arial"/>
                <w:sz w:val="20"/>
                <w:szCs w:val="20"/>
                <w:lang w:val="fr-FR"/>
              </w:rPr>
            </w:pPr>
            <w:r w:rsidRPr="00EE01B4">
              <w:rPr>
                <w:rFonts w:cs="Arial"/>
                <w:sz w:val="20"/>
                <w:szCs w:val="20"/>
                <w:lang w:val="fr-FR"/>
              </w:rPr>
              <w:t>Scientifique/</w:t>
            </w:r>
          </w:p>
          <w:p w:rsidR="0005358A" w:rsidRPr="00EE01B4" w:rsidRDefault="0005358A" w:rsidP="00D45DDB">
            <w:pPr>
              <w:rPr>
                <w:rFonts w:cs="Arial"/>
                <w:sz w:val="20"/>
                <w:szCs w:val="20"/>
                <w:lang w:val="fr-FR"/>
              </w:rPr>
            </w:pPr>
            <w:r w:rsidRPr="00EE01B4">
              <w:rPr>
                <w:rFonts w:cs="Arial"/>
                <w:sz w:val="20"/>
                <w:szCs w:val="20"/>
                <w:lang w:val="fr-FR"/>
              </w:rPr>
              <w:t>Technique</w:t>
            </w:r>
          </w:p>
        </w:tc>
        <w:tc>
          <w:tcPr>
            <w:tcW w:w="2520" w:type="dxa"/>
          </w:tcPr>
          <w:p w:rsidR="0005358A" w:rsidRPr="00EE01B4" w:rsidRDefault="0005358A" w:rsidP="00D45DDB">
            <w:pPr>
              <w:rPr>
                <w:rFonts w:cs="Arial"/>
                <w:sz w:val="20"/>
                <w:szCs w:val="20"/>
                <w:lang w:val="fr-FR"/>
              </w:rPr>
            </w:pPr>
            <w:r w:rsidRPr="00EE01B4">
              <w:rPr>
                <w:rFonts w:cs="Arial"/>
                <w:sz w:val="20"/>
                <w:szCs w:val="20"/>
                <w:lang w:val="fr-FR"/>
              </w:rPr>
              <w:t>Scientifiques, décideurs</w:t>
            </w:r>
          </w:p>
        </w:tc>
        <w:tc>
          <w:tcPr>
            <w:tcW w:w="1260" w:type="dxa"/>
          </w:tcPr>
          <w:p w:rsidR="0005358A" w:rsidRPr="00EE01B4" w:rsidRDefault="0005358A" w:rsidP="00B5352E">
            <w:pPr>
              <w:spacing w:after="40"/>
              <w:rPr>
                <w:sz w:val="20"/>
                <w:szCs w:val="20"/>
                <w:lang w:val="fr-FR"/>
              </w:rPr>
            </w:pPr>
            <w:r w:rsidRPr="00EE01B4">
              <w:rPr>
                <w:sz w:val="20"/>
                <w:szCs w:val="20"/>
                <w:lang w:val="fr-FR"/>
              </w:rPr>
              <w:t>11, 13</w:t>
            </w:r>
          </w:p>
        </w:tc>
        <w:tc>
          <w:tcPr>
            <w:tcW w:w="1260" w:type="dxa"/>
          </w:tcPr>
          <w:p w:rsidR="0005358A" w:rsidRPr="00EE01B4" w:rsidRDefault="0005358A" w:rsidP="00B5352E">
            <w:pPr>
              <w:spacing w:after="40"/>
              <w:rPr>
                <w:sz w:val="20"/>
                <w:szCs w:val="20"/>
                <w:lang w:val="fr-FR"/>
              </w:rPr>
            </w:pPr>
            <w:r w:rsidRPr="00EE01B4">
              <w:rPr>
                <w:sz w:val="20"/>
                <w:szCs w:val="20"/>
                <w:lang w:val="fr-FR"/>
              </w:rPr>
              <w:t>EFS</w:t>
            </w:r>
          </w:p>
        </w:tc>
        <w:tc>
          <w:tcPr>
            <w:tcW w:w="5336" w:type="dxa"/>
          </w:tcPr>
          <w:p w:rsidR="0005358A" w:rsidRPr="00EE01B4" w:rsidRDefault="0005358A" w:rsidP="00B5352E">
            <w:pPr>
              <w:spacing w:after="40"/>
              <w:rPr>
                <w:sz w:val="20"/>
                <w:szCs w:val="20"/>
                <w:lang w:val="fr-FR"/>
              </w:rPr>
            </w:pPr>
          </w:p>
        </w:tc>
      </w:tr>
      <w:tr w:rsidR="0005358A" w:rsidRPr="00EE01B4" w:rsidTr="004728C4">
        <w:tc>
          <w:tcPr>
            <w:tcW w:w="3067" w:type="dxa"/>
          </w:tcPr>
          <w:p w:rsidR="0005358A" w:rsidRPr="00EE01B4" w:rsidRDefault="00DF180B" w:rsidP="00DD22B1">
            <w:pPr>
              <w:spacing w:after="40"/>
              <w:rPr>
                <w:sz w:val="20"/>
                <w:szCs w:val="20"/>
                <w:lang w:val="fr-FR"/>
              </w:rPr>
            </w:pPr>
            <w:hyperlink r:id="rId14" w:history="1">
              <w:r w:rsidR="0005358A" w:rsidRPr="00EE01B4">
                <w:rPr>
                  <w:rStyle w:val="Hyperlink"/>
                  <w:sz w:val="20"/>
                  <w:szCs w:val="20"/>
                  <w:lang w:val="fr-FR"/>
                </w:rPr>
                <w:t>Résolution IX.1, Annexe E : Cadre intégré pour l’inventaire, l’évaluation et le suivi des zones humides</w:t>
              </w:r>
            </w:hyperlink>
            <w:r w:rsidR="0005358A" w:rsidRPr="00EE01B4">
              <w:rPr>
                <w:sz w:val="20"/>
                <w:szCs w:val="20"/>
                <w:lang w:val="fr-FR"/>
              </w:rPr>
              <w:t xml:space="preserve"> </w:t>
            </w:r>
          </w:p>
        </w:tc>
        <w:tc>
          <w:tcPr>
            <w:tcW w:w="2171" w:type="dxa"/>
          </w:tcPr>
          <w:p w:rsidR="0005358A" w:rsidRPr="00EE01B4" w:rsidRDefault="0005358A" w:rsidP="00D45DDB">
            <w:pPr>
              <w:rPr>
                <w:rFonts w:cs="Arial"/>
                <w:sz w:val="20"/>
                <w:szCs w:val="20"/>
                <w:lang w:val="fr-FR"/>
              </w:rPr>
            </w:pPr>
            <w:r w:rsidRPr="00EE01B4">
              <w:rPr>
                <w:rFonts w:cs="Arial"/>
                <w:sz w:val="20"/>
                <w:szCs w:val="20"/>
                <w:lang w:val="fr-FR"/>
              </w:rPr>
              <w:t>Scientifique/</w:t>
            </w:r>
          </w:p>
          <w:p w:rsidR="0005358A" w:rsidRPr="00EE01B4" w:rsidRDefault="0005358A" w:rsidP="00D45DDB">
            <w:pPr>
              <w:rPr>
                <w:rFonts w:cs="Arial"/>
                <w:sz w:val="20"/>
                <w:szCs w:val="20"/>
                <w:lang w:val="fr-FR"/>
              </w:rPr>
            </w:pPr>
            <w:r w:rsidRPr="00EE01B4">
              <w:rPr>
                <w:rFonts w:cs="Arial"/>
                <w:sz w:val="20"/>
                <w:szCs w:val="20"/>
                <w:lang w:val="fr-FR"/>
              </w:rPr>
              <w:t>Technique</w:t>
            </w:r>
          </w:p>
        </w:tc>
        <w:tc>
          <w:tcPr>
            <w:tcW w:w="2520" w:type="dxa"/>
          </w:tcPr>
          <w:p w:rsidR="0005358A" w:rsidRPr="00EE01B4" w:rsidRDefault="0005358A" w:rsidP="00B5352E">
            <w:pPr>
              <w:rPr>
                <w:rFonts w:cs="Arial"/>
                <w:sz w:val="20"/>
                <w:szCs w:val="20"/>
                <w:lang w:val="fr-FR"/>
              </w:rPr>
            </w:pPr>
            <w:r w:rsidRPr="00EE01B4">
              <w:rPr>
                <w:rFonts w:cs="Arial"/>
                <w:sz w:val="20"/>
                <w:szCs w:val="20"/>
                <w:lang w:val="fr-FR"/>
              </w:rPr>
              <w:t>Scientifiques, praticiens</w:t>
            </w:r>
          </w:p>
        </w:tc>
        <w:tc>
          <w:tcPr>
            <w:tcW w:w="1260" w:type="dxa"/>
          </w:tcPr>
          <w:p w:rsidR="0005358A" w:rsidRPr="00EE01B4" w:rsidRDefault="0005358A" w:rsidP="00B5352E">
            <w:pPr>
              <w:spacing w:after="40"/>
              <w:rPr>
                <w:sz w:val="20"/>
                <w:szCs w:val="20"/>
                <w:lang w:val="fr-FR"/>
              </w:rPr>
            </w:pPr>
            <w:r w:rsidRPr="00EE01B4">
              <w:rPr>
                <w:sz w:val="20"/>
                <w:szCs w:val="20"/>
                <w:lang w:val="fr-FR"/>
              </w:rPr>
              <w:t>13, 14, 15, 18</w:t>
            </w:r>
          </w:p>
        </w:tc>
        <w:tc>
          <w:tcPr>
            <w:tcW w:w="1260" w:type="dxa"/>
          </w:tcPr>
          <w:p w:rsidR="0005358A" w:rsidRPr="00EE01B4" w:rsidRDefault="0005358A" w:rsidP="00B5352E">
            <w:pPr>
              <w:spacing w:after="40"/>
              <w:rPr>
                <w:sz w:val="20"/>
                <w:szCs w:val="20"/>
                <w:lang w:val="fr-FR"/>
              </w:rPr>
            </w:pPr>
            <w:r w:rsidRPr="00EE01B4">
              <w:rPr>
                <w:sz w:val="20"/>
                <w:szCs w:val="20"/>
                <w:lang w:val="fr-FR"/>
              </w:rPr>
              <w:t>EFS</w:t>
            </w:r>
          </w:p>
        </w:tc>
        <w:tc>
          <w:tcPr>
            <w:tcW w:w="5336" w:type="dxa"/>
          </w:tcPr>
          <w:p w:rsidR="0005358A" w:rsidRPr="00EE01B4" w:rsidRDefault="0005358A" w:rsidP="00B5352E">
            <w:pPr>
              <w:spacing w:after="40"/>
              <w:rPr>
                <w:sz w:val="20"/>
                <w:szCs w:val="20"/>
                <w:lang w:val="fr-FR"/>
              </w:rPr>
            </w:pPr>
          </w:p>
        </w:tc>
      </w:tr>
      <w:tr w:rsidR="0005358A" w:rsidRPr="00EE01B4" w:rsidTr="004728C4">
        <w:tc>
          <w:tcPr>
            <w:tcW w:w="3067" w:type="dxa"/>
          </w:tcPr>
          <w:p w:rsidR="0005358A" w:rsidRPr="00EE01B4" w:rsidRDefault="0005358A" w:rsidP="00DD22B1">
            <w:pPr>
              <w:spacing w:after="40"/>
              <w:rPr>
                <w:rStyle w:val="Hyperlink"/>
                <w:sz w:val="20"/>
                <w:szCs w:val="20"/>
                <w:lang w:val="fr-FR"/>
              </w:rPr>
            </w:pPr>
            <w:r w:rsidRPr="00EE01B4">
              <w:rPr>
                <w:sz w:val="20"/>
                <w:szCs w:val="20"/>
                <w:lang w:val="fr-FR"/>
              </w:rPr>
              <w:fldChar w:fldCharType="begin"/>
            </w:r>
            <w:r w:rsidRPr="00EE01B4">
              <w:rPr>
                <w:sz w:val="20"/>
                <w:szCs w:val="20"/>
                <w:lang w:val="fr-FR"/>
              </w:rPr>
              <w:instrText xml:space="preserve"> HYPERLINK "http://www.ramsar.org/sites/default/files/documents/pdf/res/key_res_ix_01_annexei_f.pdf" </w:instrText>
            </w:r>
            <w:r w:rsidRPr="00EE01B4">
              <w:rPr>
                <w:sz w:val="20"/>
                <w:szCs w:val="20"/>
                <w:lang w:val="fr-FR"/>
              </w:rPr>
              <w:fldChar w:fldCharType="separate"/>
            </w:r>
            <w:r w:rsidRPr="00EE01B4">
              <w:rPr>
                <w:rStyle w:val="Hyperlink"/>
                <w:sz w:val="20"/>
                <w:szCs w:val="20"/>
                <w:lang w:val="fr-FR"/>
              </w:rPr>
              <w:t xml:space="preserve">Résolution IX.1, Annexe </w:t>
            </w:r>
            <w:proofErr w:type="spellStart"/>
            <w:r w:rsidRPr="00EE01B4">
              <w:rPr>
                <w:rStyle w:val="Hyperlink"/>
                <w:sz w:val="20"/>
                <w:szCs w:val="20"/>
                <w:lang w:val="fr-FR"/>
              </w:rPr>
              <w:t>Ei</w:t>
            </w:r>
            <w:proofErr w:type="spellEnd"/>
            <w:r w:rsidRPr="00EE01B4">
              <w:rPr>
                <w:rStyle w:val="Hyperlink"/>
                <w:sz w:val="20"/>
                <w:szCs w:val="20"/>
                <w:lang w:val="fr-FR"/>
              </w:rPr>
              <w:t> : Lignes directrices pour l’évaluation rapide de la biodiversité des zones humides intérieures,</w:t>
            </w:r>
          </w:p>
          <w:p w:rsidR="0005358A" w:rsidRPr="00EE01B4" w:rsidRDefault="0005358A" w:rsidP="00DD22B1">
            <w:pPr>
              <w:spacing w:after="40"/>
              <w:rPr>
                <w:sz w:val="20"/>
                <w:szCs w:val="20"/>
                <w:lang w:val="fr-FR"/>
              </w:rPr>
            </w:pPr>
            <w:r w:rsidRPr="00EE01B4">
              <w:rPr>
                <w:rStyle w:val="Hyperlink"/>
                <w:sz w:val="20"/>
                <w:szCs w:val="20"/>
                <w:lang w:val="fr-FR"/>
              </w:rPr>
              <w:t>côtières et marines</w:t>
            </w:r>
            <w:r w:rsidRPr="00EE01B4">
              <w:rPr>
                <w:sz w:val="20"/>
                <w:szCs w:val="20"/>
                <w:lang w:val="fr-FR"/>
              </w:rPr>
              <w:fldChar w:fldCharType="end"/>
            </w:r>
            <w:r w:rsidRPr="00EE01B4">
              <w:rPr>
                <w:sz w:val="20"/>
                <w:szCs w:val="20"/>
                <w:lang w:val="fr-FR"/>
              </w:rPr>
              <w:t xml:space="preserve"> </w:t>
            </w:r>
          </w:p>
        </w:tc>
        <w:tc>
          <w:tcPr>
            <w:tcW w:w="2171" w:type="dxa"/>
          </w:tcPr>
          <w:p w:rsidR="0005358A" w:rsidRPr="00EE01B4" w:rsidRDefault="0005358A" w:rsidP="00B5352E">
            <w:pPr>
              <w:rPr>
                <w:rFonts w:cs="Arial"/>
                <w:sz w:val="20"/>
                <w:szCs w:val="20"/>
                <w:lang w:val="fr-FR"/>
              </w:rPr>
            </w:pPr>
            <w:r w:rsidRPr="00EE01B4">
              <w:rPr>
                <w:rFonts w:cs="Arial"/>
                <w:sz w:val="20"/>
                <w:szCs w:val="20"/>
                <w:lang w:val="fr-FR"/>
              </w:rPr>
              <w:t>Scientifique/</w:t>
            </w:r>
          </w:p>
          <w:p w:rsidR="0005358A" w:rsidRPr="00EE01B4" w:rsidRDefault="0005358A" w:rsidP="00B5352E">
            <w:pPr>
              <w:rPr>
                <w:rFonts w:cs="Arial"/>
                <w:sz w:val="20"/>
                <w:szCs w:val="20"/>
                <w:lang w:val="fr-FR"/>
              </w:rPr>
            </w:pPr>
            <w:r w:rsidRPr="00EE01B4">
              <w:rPr>
                <w:rFonts w:cs="Arial"/>
                <w:sz w:val="20"/>
                <w:szCs w:val="20"/>
                <w:lang w:val="fr-FR"/>
              </w:rPr>
              <w:t>Technique</w:t>
            </w:r>
          </w:p>
        </w:tc>
        <w:tc>
          <w:tcPr>
            <w:tcW w:w="2520" w:type="dxa"/>
          </w:tcPr>
          <w:p w:rsidR="0005358A" w:rsidRPr="00EE01B4" w:rsidRDefault="0005358A" w:rsidP="00B5352E">
            <w:pPr>
              <w:rPr>
                <w:rFonts w:cs="Arial"/>
                <w:sz w:val="20"/>
                <w:szCs w:val="20"/>
                <w:lang w:val="fr-FR"/>
              </w:rPr>
            </w:pPr>
            <w:r w:rsidRPr="00EE01B4">
              <w:rPr>
                <w:rFonts w:cs="Arial"/>
                <w:sz w:val="20"/>
                <w:szCs w:val="20"/>
                <w:lang w:val="fr-FR"/>
              </w:rPr>
              <w:t>Scientifiques, praticiens</w:t>
            </w:r>
          </w:p>
        </w:tc>
        <w:tc>
          <w:tcPr>
            <w:tcW w:w="1260" w:type="dxa"/>
          </w:tcPr>
          <w:p w:rsidR="0005358A" w:rsidRPr="00EE01B4" w:rsidRDefault="0005358A" w:rsidP="00B5352E">
            <w:pPr>
              <w:spacing w:after="40"/>
              <w:rPr>
                <w:sz w:val="20"/>
                <w:szCs w:val="20"/>
                <w:lang w:val="fr-FR"/>
              </w:rPr>
            </w:pPr>
            <w:r w:rsidRPr="00EE01B4">
              <w:rPr>
                <w:sz w:val="20"/>
                <w:szCs w:val="20"/>
                <w:lang w:val="fr-FR"/>
              </w:rPr>
              <w:t>1, 13</w:t>
            </w:r>
          </w:p>
        </w:tc>
        <w:tc>
          <w:tcPr>
            <w:tcW w:w="1260" w:type="dxa"/>
          </w:tcPr>
          <w:p w:rsidR="0005358A" w:rsidRPr="00EE01B4" w:rsidRDefault="0005358A" w:rsidP="00B5352E">
            <w:pPr>
              <w:spacing w:after="40"/>
              <w:rPr>
                <w:sz w:val="20"/>
                <w:szCs w:val="20"/>
                <w:lang w:val="fr-FR"/>
              </w:rPr>
            </w:pPr>
            <w:r w:rsidRPr="00EE01B4">
              <w:rPr>
                <w:sz w:val="20"/>
                <w:szCs w:val="20"/>
                <w:lang w:val="fr-FR"/>
              </w:rPr>
              <w:t>EFS</w:t>
            </w:r>
          </w:p>
        </w:tc>
        <w:tc>
          <w:tcPr>
            <w:tcW w:w="5336" w:type="dxa"/>
          </w:tcPr>
          <w:p w:rsidR="0005358A" w:rsidRPr="00EE01B4" w:rsidRDefault="0005358A" w:rsidP="00B5352E">
            <w:pPr>
              <w:spacing w:after="40"/>
              <w:rPr>
                <w:sz w:val="20"/>
                <w:szCs w:val="20"/>
                <w:lang w:val="fr-FR"/>
              </w:rPr>
            </w:pPr>
          </w:p>
        </w:tc>
      </w:tr>
      <w:tr w:rsidR="0005358A" w:rsidRPr="00EE01B4" w:rsidTr="004728C4">
        <w:tc>
          <w:tcPr>
            <w:tcW w:w="3067" w:type="dxa"/>
          </w:tcPr>
          <w:p w:rsidR="0005358A" w:rsidRPr="00EE01B4" w:rsidRDefault="00DF180B" w:rsidP="00B5352E">
            <w:pPr>
              <w:spacing w:after="40"/>
              <w:rPr>
                <w:sz w:val="20"/>
                <w:szCs w:val="20"/>
                <w:lang w:val="fr-FR"/>
              </w:rPr>
            </w:pPr>
            <w:hyperlink r:id="rId15" w:history="1">
              <w:r w:rsidR="0005358A" w:rsidRPr="00EE01B4">
                <w:rPr>
                  <w:rStyle w:val="Hyperlink"/>
                  <w:sz w:val="20"/>
                  <w:szCs w:val="20"/>
                  <w:lang w:val="fr-FR"/>
                </w:rPr>
                <w:t>Résolution VIII.6 : Cadre Ramsar pour l’inventaire des zones humides</w:t>
              </w:r>
            </w:hyperlink>
          </w:p>
        </w:tc>
        <w:tc>
          <w:tcPr>
            <w:tcW w:w="2171" w:type="dxa"/>
          </w:tcPr>
          <w:p w:rsidR="0005358A" w:rsidRPr="00EE01B4" w:rsidRDefault="0005358A" w:rsidP="00B5352E">
            <w:pPr>
              <w:rPr>
                <w:rFonts w:cs="Arial"/>
                <w:sz w:val="20"/>
                <w:szCs w:val="20"/>
                <w:lang w:val="fr-FR"/>
              </w:rPr>
            </w:pPr>
            <w:r w:rsidRPr="00EE01B4">
              <w:rPr>
                <w:rFonts w:cs="Arial"/>
                <w:sz w:val="20"/>
                <w:szCs w:val="20"/>
                <w:lang w:val="fr-FR"/>
              </w:rPr>
              <w:t>Technique</w:t>
            </w:r>
          </w:p>
        </w:tc>
        <w:tc>
          <w:tcPr>
            <w:tcW w:w="2520" w:type="dxa"/>
          </w:tcPr>
          <w:p w:rsidR="0005358A" w:rsidRPr="00EE01B4" w:rsidRDefault="0005358A" w:rsidP="00D45DDB">
            <w:pPr>
              <w:rPr>
                <w:rFonts w:cs="Arial"/>
                <w:sz w:val="20"/>
                <w:szCs w:val="20"/>
                <w:lang w:val="fr-FR"/>
              </w:rPr>
            </w:pPr>
            <w:r w:rsidRPr="00EE01B4">
              <w:rPr>
                <w:rFonts w:cs="Arial"/>
                <w:sz w:val="20"/>
                <w:szCs w:val="20"/>
                <w:lang w:val="fr-FR"/>
              </w:rPr>
              <w:t>Praticiens, décideurs</w:t>
            </w:r>
          </w:p>
        </w:tc>
        <w:tc>
          <w:tcPr>
            <w:tcW w:w="1260" w:type="dxa"/>
          </w:tcPr>
          <w:p w:rsidR="0005358A" w:rsidRPr="00EE01B4" w:rsidRDefault="0005358A" w:rsidP="00B5352E">
            <w:pPr>
              <w:spacing w:after="40"/>
              <w:rPr>
                <w:sz w:val="20"/>
                <w:szCs w:val="20"/>
                <w:lang w:val="fr-FR"/>
              </w:rPr>
            </w:pPr>
            <w:r w:rsidRPr="00EE01B4">
              <w:rPr>
                <w:sz w:val="20"/>
                <w:szCs w:val="20"/>
                <w:lang w:val="fr-FR"/>
              </w:rPr>
              <w:t>14, 15, 13</w:t>
            </w:r>
          </w:p>
        </w:tc>
        <w:tc>
          <w:tcPr>
            <w:tcW w:w="1260" w:type="dxa"/>
          </w:tcPr>
          <w:p w:rsidR="0005358A" w:rsidRPr="00EE01B4" w:rsidRDefault="0005358A" w:rsidP="00B5352E">
            <w:pPr>
              <w:spacing w:after="40"/>
              <w:rPr>
                <w:sz w:val="20"/>
                <w:szCs w:val="20"/>
                <w:lang w:val="fr-FR"/>
              </w:rPr>
            </w:pPr>
            <w:r w:rsidRPr="00EE01B4">
              <w:rPr>
                <w:sz w:val="20"/>
                <w:szCs w:val="20"/>
                <w:lang w:val="fr-FR"/>
              </w:rPr>
              <w:t>EFS</w:t>
            </w:r>
          </w:p>
        </w:tc>
        <w:tc>
          <w:tcPr>
            <w:tcW w:w="5336" w:type="dxa"/>
          </w:tcPr>
          <w:p w:rsidR="0005358A" w:rsidRPr="00EE01B4" w:rsidRDefault="0005358A" w:rsidP="00B5352E">
            <w:pPr>
              <w:spacing w:after="40"/>
              <w:rPr>
                <w:sz w:val="20"/>
                <w:szCs w:val="20"/>
                <w:lang w:val="fr-FR"/>
              </w:rPr>
            </w:pPr>
          </w:p>
        </w:tc>
      </w:tr>
      <w:tr w:rsidR="0005358A" w:rsidRPr="00EE01B4" w:rsidTr="004728C4">
        <w:tc>
          <w:tcPr>
            <w:tcW w:w="3067" w:type="dxa"/>
          </w:tcPr>
          <w:p w:rsidR="0005358A" w:rsidRPr="00EE01B4" w:rsidRDefault="00DF180B" w:rsidP="00D45DDB">
            <w:pPr>
              <w:keepNext/>
              <w:keepLines/>
              <w:spacing w:after="40"/>
              <w:rPr>
                <w:sz w:val="20"/>
                <w:szCs w:val="20"/>
                <w:lang w:val="fr-FR"/>
              </w:rPr>
            </w:pPr>
            <w:hyperlink r:id="rId16" w:history="1">
              <w:r w:rsidR="0005358A" w:rsidRPr="00EE01B4">
                <w:rPr>
                  <w:rStyle w:val="Hyperlink"/>
                  <w:sz w:val="20"/>
                  <w:szCs w:val="20"/>
                  <w:lang w:val="fr-FR"/>
                </w:rPr>
                <w:t>Résolution VII.10 : Cadre d’évaluation des risques pour les zones humides</w:t>
              </w:r>
            </w:hyperlink>
          </w:p>
        </w:tc>
        <w:tc>
          <w:tcPr>
            <w:tcW w:w="2171" w:type="dxa"/>
          </w:tcPr>
          <w:p w:rsidR="0005358A" w:rsidRPr="00EE01B4" w:rsidRDefault="0005358A" w:rsidP="00D45DDB">
            <w:pPr>
              <w:keepNext/>
              <w:keepLines/>
              <w:rPr>
                <w:rFonts w:cs="Arial"/>
                <w:sz w:val="20"/>
                <w:szCs w:val="20"/>
                <w:lang w:val="fr-FR"/>
              </w:rPr>
            </w:pPr>
            <w:r w:rsidRPr="00EE01B4">
              <w:rPr>
                <w:rFonts w:cs="Arial"/>
                <w:sz w:val="20"/>
                <w:szCs w:val="20"/>
                <w:lang w:val="fr-FR"/>
              </w:rPr>
              <w:t>Scientifique/</w:t>
            </w:r>
          </w:p>
          <w:p w:rsidR="0005358A" w:rsidRPr="00EE01B4" w:rsidRDefault="0005358A" w:rsidP="00D45DDB">
            <w:pPr>
              <w:keepNext/>
              <w:keepLines/>
              <w:rPr>
                <w:rFonts w:cs="Arial"/>
                <w:sz w:val="20"/>
                <w:szCs w:val="20"/>
                <w:lang w:val="fr-FR"/>
              </w:rPr>
            </w:pPr>
            <w:r w:rsidRPr="00EE01B4">
              <w:rPr>
                <w:rFonts w:cs="Arial"/>
                <w:sz w:val="20"/>
                <w:szCs w:val="20"/>
                <w:lang w:val="fr-FR"/>
              </w:rPr>
              <w:t>Technique</w:t>
            </w:r>
          </w:p>
        </w:tc>
        <w:tc>
          <w:tcPr>
            <w:tcW w:w="2520" w:type="dxa"/>
          </w:tcPr>
          <w:p w:rsidR="0005358A" w:rsidRPr="00EE01B4" w:rsidRDefault="0005358A" w:rsidP="00D45DDB">
            <w:pPr>
              <w:keepNext/>
              <w:keepLines/>
              <w:rPr>
                <w:rFonts w:cs="Arial"/>
                <w:sz w:val="20"/>
                <w:szCs w:val="20"/>
                <w:lang w:val="fr-FR"/>
              </w:rPr>
            </w:pPr>
            <w:r w:rsidRPr="00EE01B4">
              <w:rPr>
                <w:rFonts w:cs="Arial"/>
                <w:sz w:val="20"/>
                <w:szCs w:val="20"/>
                <w:lang w:val="fr-FR"/>
              </w:rPr>
              <w:t>Scientifiques, praticiens</w:t>
            </w:r>
          </w:p>
        </w:tc>
        <w:tc>
          <w:tcPr>
            <w:tcW w:w="1260" w:type="dxa"/>
          </w:tcPr>
          <w:p w:rsidR="0005358A" w:rsidRPr="00EE01B4" w:rsidRDefault="0005358A" w:rsidP="00D45DDB">
            <w:pPr>
              <w:keepNext/>
              <w:keepLines/>
              <w:spacing w:after="40"/>
              <w:rPr>
                <w:sz w:val="20"/>
                <w:szCs w:val="20"/>
                <w:lang w:val="fr-FR"/>
              </w:rPr>
            </w:pPr>
            <w:r w:rsidRPr="00EE01B4">
              <w:rPr>
                <w:sz w:val="20"/>
                <w:szCs w:val="20"/>
                <w:lang w:val="fr-FR"/>
              </w:rPr>
              <w:t>18, 13</w:t>
            </w:r>
          </w:p>
        </w:tc>
        <w:tc>
          <w:tcPr>
            <w:tcW w:w="1260" w:type="dxa"/>
          </w:tcPr>
          <w:p w:rsidR="0005358A" w:rsidRPr="00EE01B4" w:rsidRDefault="0005358A" w:rsidP="00D45DDB">
            <w:pPr>
              <w:keepNext/>
              <w:keepLines/>
              <w:spacing w:after="40"/>
              <w:rPr>
                <w:sz w:val="20"/>
                <w:szCs w:val="20"/>
                <w:lang w:val="fr-FR"/>
              </w:rPr>
            </w:pPr>
            <w:r w:rsidRPr="00EE01B4">
              <w:rPr>
                <w:sz w:val="20"/>
                <w:szCs w:val="20"/>
                <w:lang w:val="fr-FR"/>
              </w:rPr>
              <w:t>EFS</w:t>
            </w:r>
          </w:p>
        </w:tc>
        <w:tc>
          <w:tcPr>
            <w:tcW w:w="5336" w:type="dxa"/>
          </w:tcPr>
          <w:p w:rsidR="0005358A" w:rsidRPr="00EE01B4" w:rsidRDefault="0005358A" w:rsidP="00D45DDB">
            <w:pPr>
              <w:keepNext/>
              <w:keepLines/>
              <w:rPr>
                <w:rFonts w:cs="Arial"/>
                <w:sz w:val="20"/>
                <w:szCs w:val="20"/>
                <w:lang w:val="fr-FR"/>
              </w:rPr>
            </w:pPr>
          </w:p>
        </w:tc>
      </w:tr>
      <w:tr w:rsidR="0005358A" w:rsidRPr="00EE01B4" w:rsidTr="004728C4">
        <w:tc>
          <w:tcPr>
            <w:tcW w:w="3067" w:type="dxa"/>
          </w:tcPr>
          <w:p w:rsidR="0005358A" w:rsidRPr="00EE01B4" w:rsidRDefault="00DF180B" w:rsidP="00D45DDB">
            <w:pPr>
              <w:keepNext/>
              <w:keepLines/>
              <w:spacing w:after="40"/>
              <w:rPr>
                <w:rStyle w:val="Hyperlink"/>
                <w:sz w:val="20"/>
                <w:szCs w:val="20"/>
                <w:lang w:val="en-GB"/>
              </w:rPr>
            </w:pPr>
            <w:hyperlink r:id="rId17" w:history="1">
              <w:r w:rsidR="0005358A" w:rsidRPr="00EE01B4">
                <w:rPr>
                  <w:rStyle w:val="Hyperlink"/>
                  <w:sz w:val="20"/>
                  <w:szCs w:val="20"/>
                  <w:lang w:val="en-GB"/>
                </w:rPr>
                <w:t>COP11 DOC. 24 : Limits of Acceptable Change</w:t>
              </w:r>
            </w:hyperlink>
          </w:p>
          <w:p w:rsidR="0005358A" w:rsidRPr="00EE01B4" w:rsidRDefault="0005358A" w:rsidP="00D45DDB">
            <w:pPr>
              <w:keepNext/>
              <w:keepLines/>
              <w:spacing w:after="40"/>
              <w:rPr>
                <w:sz w:val="20"/>
                <w:szCs w:val="20"/>
                <w:lang w:val="fr-FR"/>
              </w:rPr>
            </w:pPr>
            <w:r w:rsidRPr="00EE01B4">
              <w:rPr>
                <w:sz w:val="20"/>
                <w:szCs w:val="20"/>
                <w:lang w:val="fr-FR"/>
              </w:rPr>
              <w:t>(</w:t>
            </w:r>
            <w:hyperlink r:id="rId18" w:history="1">
              <w:r w:rsidRPr="00EE01B4">
                <w:rPr>
                  <w:rStyle w:val="Hyperlink"/>
                  <w:sz w:val="20"/>
                  <w:szCs w:val="20"/>
                  <w:lang w:val="fr-FR"/>
                </w:rPr>
                <w:t>Résolution XI.4 État des sites de la Liste de Ramsar des zones humides d'importance internationale</w:t>
              </w:r>
            </w:hyperlink>
            <w:r w:rsidRPr="00EE01B4">
              <w:rPr>
                <w:sz w:val="20"/>
                <w:szCs w:val="20"/>
                <w:lang w:val="fr-FR"/>
              </w:rPr>
              <w:t>)</w:t>
            </w:r>
          </w:p>
        </w:tc>
        <w:tc>
          <w:tcPr>
            <w:tcW w:w="2171" w:type="dxa"/>
          </w:tcPr>
          <w:p w:rsidR="0005358A" w:rsidRPr="00EE01B4" w:rsidRDefault="0005358A" w:rsidP="00D45DDB">
            <w:pPr>
              <w:keepNext/>
              <w:keepLines/>
              <w:rPr>
                <w:rFonts w:cs="Arial"/>
                <w:sz w:val="20"/>
                <w:szCs w:val="20"/>
                <w:lang w:val="fr-FR"/>
              </w:rPr>
            </w:pPr>
            <w:r w:rsidRPr="00EE01B4">
              <w:rPr>
                <w:rFonts w:cs="Arial"/>
                <w:sz w:val="20"/>
                <w:szCs w:val="20"/>
                <w:lang w:val="fr-FR"/>
              </w:rPr>
              <w:t>Scientifique/</w:t>
            </w:r>
          </w:p>
          <w:p w:rsidR="0005358A" w:rsidRPr="00EE01B4" w:rsidRDefault="0005358A" w:rsidP="00D45DDB">
            <w:pPr>
              <w:keepNext/>
              <w:keepLines/>
              <w:rPr>
                <w:rFonts w:cs="Arial"/>
                <w:sz w:val="20"/>
                <w:szCs w:val="20"/>
                <w:lang w:val="fr-FR"/>
              </w:rPr>
            </w:pPr>
            <w:r w:rsidRPr="00EE01B4">
              <w:rPr>
                <w:rFonts w:cs="Arial"/>
                <w:sz w:val="20"/>
                <w:szCs w:val="20"/>
                <w:lang w:val="fr-FR"/>
              </w:rPr>
              <w:t>Technique</w:t>
            </w:r>
          </w:p>
        </w:tc>
        <w:tc>
          <w:tcPr>
            <w:tcW w:w="2520" w:type="dxa"/>
          </w:tcPr>
          <w:p w:rsidR="0005358A" w:rsidRPr="00EE01B4" w:rsidRDefault="0005358A" w:rsidP="00D45DDB">
            <w:pPr>
              <w:keepNext/>
              <w:keepLines/>
              <w:rPr>
                <w:rFonts w:cs="Arial"/>
                <w:sz w:val="20"/>
                <w:szCs w:val="20"/>
                <w:lang w:val="fr-FR"/>
              </w:rPr>
            </w:pPr>
            <w:r w:rsidRPr="00EE01B4">
              <w:rPr>
                <w:rFonts w:cs="Arial"/>
                <w:sz w:val="20"/>
                <w:szCs w:val="20"/>
                <w:lang w:val="fr-FR"/>
              </w:rPr>
              <w:t>Scientifiques, praticiens</w:t>
            </w:r>
          </w:p>
        </w:tc>
        <w:tc>
          <w:tcPr>
            <w:tcW w:w="1260" w:type="dxa"/>
          </w:tcPr>
          <w:p w:rsidR="0005358A" w:rsidRPr="00EE01B4" w:rsidRDefault="0005358A" w:rsidP="00D45DDB">
            <w:pPr>
              <w:keepNext/>
              <w:keepLines/>
              <w:rPr>
                <w:rFonts w:cs="Arial"/>
                <w:sz w:val="20"/>
                <w:szCs w:val="20"/>
                <w:lang w:val="fr-FR"/>
              </w:rPr>
            </w:pPr>
            <w:r w:rsidRPr="00EE01B4">
              <w:rPr>
                <w:sz w:val="20"/>
                <w:szCs w:val="20"/>
                <w:lang w:val="fr-FR"/>
              </w:rPr>
              <w:t>Pas encore inclus dans un Manuel</w:t>
            </w:r>
          </w:p>
        </w:tc>
        <w:tc>
          <w:tcPr>
            <w:tcW w:w="1260" w:type="dxa"/>
          </w:tcPr>
          <w:p w:rsidR="0005358A" w:rsidRPr="00EE01B4" w:rsidRDefault="0005358A" w:rsidP="00D45DDB">
            <w:pPr>
              <w:keepNext/>
              <w:keepLines/>
              <w:spacing w:after="40"/>
              <w:rPr>
                <w:sz w:val="20"/>
                <w:szCs w:val="20"/>
                <w:lang w:val="fr-FR"/>
              </w:rPr>
            </w:pPr>
            <w:r w:rsidRPr="00EE01B4">
              <w:rPr>
                <w:sz w:val="20"/>
                <w:szCs w:val="20"/>
                <w:lang w:val="fr-FR"/>
              </w:rPr>
              <w:t>E</w:t>
            </w:r>
          </w:p>
          <w:p w:rsidR="0005358A" w:rsidRPr="00EE01B4" w:rsidRDefault="0005358A" w:rsidP="00D45DDB">
            <w:pPr>
              <w:keepNext/>
              <w:keepLines/>
              <w:spacing w:after="40"/>
              <w:rPr>
                <w:sz w:val="20"/>
                <w:szCs w:val="20"/>
                <w:lang w:val="fr-FR"/>
              </w:rPr>
            </w:pPr>
          </w:p>
          <w:p w:rsidR="0005358A" w:rsidRPr="00EE01B4" w:rsidRDefault="0005358A" w:rsidP="00D45DDB">
            <w:pPr>
              <w:keepNext/>
              <w:keepLines/>
              <w:spacing w:after="40"/>
              <w:rPr>
                <w:sz w:val="20"/>
                <w:szCs w:val="20"/>
                <w:lang w:val="fr-FR"/>
              </w:rPr>
            </w:pPr>
            <w:r w:rsidRPr="00EE01B4">
              <w:rPr>
                <w:sz w:val="20"/>
                <w:szCs w:val="20"/>
                <w:lang w:val="fr-FR"/>
              </w:rPr>
              <w:t>EFS</w:t>
            </w:r>
          </w:p>
        </w:tc>
        <w:tc>
          <w:tcPr>
            <w:tcW w:w="5336" w:type="dxa"/>
          </w:tcPr>
          <w:p w:rsidR="0005358A" w:rsidRPr="00EE01B4" w:rsidRDefault="0005358A" w:rsidP="002C7DCC">
            <w:pPr>
              <w:keepNext/>
              <w:keepLines/>
              <w:rPr>
                <w:rFonts w:cs="Arial"/>
                <w:sz w:val="20"/>
                <w:szCs w:val="20"/>
                <w:lang w:val="fr-FR"/>
              </w:rPr>
            </w:pPr>
            <w:r w:rsidRPr="00EE01B4">
              <w:rPr>
                <w:rFonts w:cs="Arial"/>
                <w:sz w:val="20"/>
                <w:szCs w:val="20"/>
                <w:u w:val="single"/>
                <w:lang w:val="fr-FR"/>
              </w:rPr>
              <w:t>Résumé</w:t>
            </w:r>
            <w:r w:rsidRPr="00EE01B4">
              <w:rPr>
                <w:rFonts w:cs="Arial"/>
                <w:sz w:val="20"/>
                <w:szCs w:val="20"/>
                <w:lang w:val="fr-FR"/>
              </w:rPr>
              <w:t> : Ce document donne une vue d’ensemble des approches existantes et d’autres considérations concernant la définition et le fonctionnement de concepts et d’approches pour ‘les limites du changement acceptable’ (LCA) qui peuvent être applicables au contexte Ramsar de définition et de détection de changements dans les caractéristiques écologiques des zones humides, conformément à l’article 3.2. </w:t>
            </w:r>
          </w:p>
        </w:tc>
      </w:tr>
      <w:tr w:rsidR="0005358A" w:rsidRPr="00EE01B4" w:rsidTr="004728C4">
        <w:tc>
          <w:tcPr>
            <w:tcW w:w="3067" w:type="dxa"/>
          </w:tcPr>
          <w:p w:rsidR="0005358A" w:rsidRPr="00EE01B4" w:rsidRDefault="00DF180B" w:rsidP="00B5352E">
            <w:pPr>
              <w:spacing w:after="40"/>
              <w:rPr>
                <w:rStyle w:val="Hyperlink"/>
                <w:sz w:val="20"/>
                <w:szCs w:val="20"/>
                <w:lang w:val="en-GB"/>
              </w:rPr>
            </w:pPr>
            <w:hyperlink r:id="rId19" w:history="1">
              <w:r w:rsidR="0005358A" w:rsidRPr="00EE01B4">
                <w:rPr>
                  <w:rStyle w:val="Hyperlink"/>
                  <w:sz w:val="20"/>
                  <w:szCs w:val="20"/>
                  <w:lang w:val="en-GB"/>
                </w:rPr>
                <w:t>DOC. SC35-4 : Activities with International Organization Partners “Watching the Wetlands”</w:t>
              </w:r>
            </w:hyperlink>
          </w:p>
          <w:p w:rsidR="0005358A" w:rsidRPr="00EE01B4" w:rsidRDefault="0005358A" w:rsidP="00B5352E">
            <w:pPr>
              <w:spacing w:after="40"/>
              <w:rPr>
                <w:sz w:val="20"/>
                <w:szCs w:val="20"/>
                <w:lang w:val="en-GB"/>
              </w:rPr>
            </w:pPr>
          </w:p>
        </w:tc>
        <w:tc>
          <w:tcPr>
            <w:tcW w:w="2171" w:type="dxa"/>
          </w:tcPr>
          <w:p w:rsidR="0005358A" w:rsidRPr="00EE01B4" w:rsidRDefault="0005358A" w:rsidP="00B5352E">
            <w:pPr>
              <w:rPr>
                <w:rFonts w:cs="Arial"/>
                <w:sz w:val="20"/>
                <w:szCs w:val="20"/>
                <w:lang w:val="en-GB"/>
              </w:rPr>
            </w:pPr>
          </w:p>
        </w:tc>
        <w:tc>
          <w:tcPr>
            <w:tcW w:w="2520" w:type="dxa"/>
          </w:tcPr>
          <w:p w:rsidR="0005358A" w:rsidRPr="00EE01B4" w:rsidRDefault="0005358A" w:rsidP="00B5352E">
            <w:pPr>
              <w:rPr>
                <w:rFonts w:cs="Arial"/>
                <w:sz w:val="20"/>
                <w:szCs w:val="20"/>
                <w:lang w:val="en-GB"/>
              </w:rPr>
            </w:pPr>
          </w:p>
        </w:tc>
        <w:tc>
          <w:tcPr>
            <w:tcW w:w="1260" w:type="dxa"/>
          </w:tcPr>
          <w:p w:rsidR="0005358A" w:rsidRPr="00EE01B4" w:rsidRDefault="0005358A" w:rsidP="00B5352E">
            <w:pPr>
              <w:rPr>
                <w:rFonts w:cs="Arial"/>
                <w:sz w:val="20"/>
                <w:szCs w:val="20"/>
                <w:lang w:val="en-GB"/>
              </w:rPr>
            </w:pPr>
          </w:p>
        </w:tc>
        <w:tc>
          <w:tcPr>
            <w:tcW w:w="1260" w:type="dxa"/>
          </w:tcPr>
          <w:p w:rsidR="0005358A" w:rsidRPr="00EE01B4" w:rsidRDefault="0005358A" w:rsidP="00B5352E">
            <w:pPr>
              <w:spacing w:after="40"/>
              <w:rPr>
                <w:sz w:val="20"/>
                <w:szCs w:val="20"/>
                <w:lang w:val="fr-FR"/>
              </w:rPr>
            </w:pPr>
            <w:r w:rsidRPr="00EE01B4">
              <w:rPr>
                <w:sz w:val="20"/>
                <w:szCs w:val="20"/>
                <w:lang w:val="fr-FR"/>
              </w:rPr>
              <w:t>E</w:t>
            </w:r>
          </w:p>
        </w:tc>
        <w:tc>
          <w:tcPr>
            <w:tcW w:w="5336" w:type="dxa"/>
          </w:tcPr>
          <w:p w:rsidR="0005358A" w:rsidRPr="00EE01B4" w:rsidRDefault="0005358A" w:rsidP="002C7DCC">
            <w:pPr>
              <w:rPr>
                <w:rFonts w:cs="Arial"/>
                <w:sz w:val="20"/>
                <w:szCs w:val="20"/>
                <w:lang w:val="fr-FR"/>
              </w:rPr>
            </w:pPr>
            <w:r w:rsidRPr="00EE01B4">
              <w:rPr>
                <w:rFonts w:cs="Arial"/>
                <w:sz w:val="20"/>
                <w:szCs w:val="20"/>
                <w:u w:val="single"/>
                <w:lang w:val="fr-FR"/>
              </w:rPr>
              <w:t>Résumé</w:t>
            </w:r>
            <w:r w:rsidRPr="00EE01B4">
              <w:rPr>
                <w:rFonts w:cs="Arial"/>
                <w:sz w:val="20"/>
                <w:szCs w:val="20"/>
                <w:lang w:val="fr-FR"/>
              </w:rPr>
              <w:t xml:space="preserve"> : Ce document de travail, dont il est fait référence dans le document DOC. SC35-3, fournit des informations sur l’élaboration actuelle et en cours, par les cinq Organisations internationales partenaires (OIP) de la Convention d’une initiative conjointe conçue pour soutenir les travaux de la Convention dans différents aspects de l’activité relative au suivi des zones humides. Il fournit aussi une étude à jour des questions de suivi des zones humides pour la Convention.   </w:t>
            </w:r>
          </w:p>
        </w:tc>
      </w:tr>
      <w:tr w:rsidR="0005358A" w:rsidRPr="00EE01B4" w:rsidTr="004728C4">
        <w:tc>
          <w:tcPr>
            <w:tcW w:w="3067" w:type="dxa"/>
          </w:tcPr>
          <w:p w:rsidR="0005358A" w:rsidRPr="00EE01B4" w:rsidRDefault="0005358A" w:rsidP="002C7DCC">
            <w:pPr>
              <w:spacing w:after="40"/>
              <w:rPr>
                <w:sz w:val="20"/>
                <w:szCs w:val="20"/>
                <w:lang w:val="fr-FR"/>
              </w:rPr>
            </w:pPr>
            <w:r w:rsidRPr="00EE01B4">
              <w:rPr>
                <w:sz w:val="20"/>
                <w:szCs w:val="20"/>
                <w:lang w:val="fr-FR"/>
              </w:rPr>
              <w:t>Rapport technique Ramsar n</w:t>
            </w:r>
            <w:r w:rsidRPr="00EE01B4">
              <w:rPr>
                <w:sz w:val="20"/>
                <w:szCs w:val="20"/>
                <w:vertAlign w:val="superscript"/>
                <w:lang w:val="fr-FR"/>
              </w:rPr>
              <w:t>o</w:t>
            </w:r>
            <w:r w:rsidRPr="00EE01B4">
              <w:rPr>
                <w:sz w:val="20"/>
                <w:szCs w:val="20"/>
                <w:lang w:val="fr-FR"/>
              </w:rPr>
              <w:t xml:space="preserve"> 1 : </w:t>
            </w:r>
            <w:r w:rsidRPr="00EE01B4">
              <w:rPr>
                <w:sz w:val="20"/>
                <w:szCs w:val="20"/>
                <w:lang w:val="fr-FR"/>
              </w:rPr>
              <w:lastRenderedPageBreak/>
              <w:t>Lignes directrices sur l'évaluation écologique rapide de la diversité biologique dans les eaux intérieures, côtières et marines</w:t>
            </w:r>
          </w:p>
        </w:tc>
        <w:tc>
          <w:tcPr>
            <w:tcW w:w="2171" w:type="dxa"/>
          </w:tcPr>
          <w:p w:rsidR="0005358A" w:rsidRPr="00EE01B4" w:rsidRDefault="0005358A" w:rsidP="00D45DDB">
            <w:pPr>
              <w:rPr>
                <w:rFonts w:cs="Arial"/>
                <w:sz w:val="20"/>
                <w:szCs w:val="20"/>
                <w:lang w:val="fr-FR"/>
              </w:rPr>
            </w:pPr>
            <w:r w:rsidRPr="00EE01B4">
              <w:rPr>
                <w:rFonts w:cs="Arial"/>
                <w:sz w:val="20"/>
                <w:szCs w:val="20"/>
                <w:lang w:val="fr-FR"/>
              </w:rPr>
              <w:lastRenderedPageBreak/>
              <w:t>Scientifique/</w:t>
            </w:r>
          </w:p>
          <w:p w:rsidR="0005358A" w:rsidRPr="00EE01B4" w:rsidRDefault="0005358A" w:rsidP="00D45DDB">
            <w:pPr>
              <w:rPr>
                <w:rFonts w:cs="Arial"/>
                <w:sz w:val="20"/>
                <w:szCs w:val="20"/>
                <w:lang w:val="fr-FR"/>
              </w:rPr>
            </w:pPr>
            <w:r w:rsidRPr="00EE01B4">
              <w:rPr>
                <w:rFonts w:cs="Arial"/>
                <w:sz w:val="20"/>
                <w:szCs w:val="20"/>
                <w:lang w:val="fr-FR"/>
              </w:rPr>
              <w:lastRenderedPageBreak/>
              <w:t>Technique</w:t>
            </w:r>
          </w:p>
        </w:tc>
        <w:tc>
          <w:tcPr>
            <w:tcW w:w="2520" w:type="dxa"/>
          </w:tcPr>
          <w:p w:rsidR="0005358A" w:rsidRPr="00EE01B4" w:rsidRDefault="0005358A" w:rsidP="00B5352E">
            <w:pPr>
              <w:rPr>
                <w:rFonts w:cs="Arial"/>
                <w:sz w:val="20"/>
                <w:szCs w:val="20"/>
                <w:lang w:val="fr-FR"/>
              </w:rPr>
            </w:pPr>
            <w:r w:rsidRPr="00EE01B4">
              <w:rPr>
                <w:rFonts w:cs="Arial"/>
                <w:sz w:val="20"/>
                <w:szCs w:val="20"/>
                <w:lang w:val="fr-FR"/>
              </w:rPr>
              <w:lastRenderedPageBreak/>
              <w:t>Scientifiques</w:t>
            </w:r>
          </w:p>
        </w:tc>
        <w:tc>
          <w:tcPr>
            <w:tcW w:w="1260" w:type="dxa"/>
          </w:tcPr>
          <w:p w:rsidR="0005358A" w:rsidRPr="00EE01B4" w:rsidRDefault="0005358A" w:rsidP="00B5352E">
            <w:pPr>
              <w:rPr>
                <w:rFonts w:cs="Arial"/>
                <w:sz w:val="20"/>
                <w:szCs w:val="20"/>
                <w:lang w:val="fr-FR"/>
              </w:rPr>
            </w:pPr>
          </w:p>
        </w:tc>
        <w:tc>
          <w:tcPr>
            <w:tcW w:w="1260" w:type="dxa"/>
          </w:tcPr>
          <w:p w:rsidR="0005358A" w:rsidRPr="00EE01B4" w:rsidRDefault="0005358A" w:rsidP="00B5352E">
            <w:pPr>
              <w:spacing w:after="40"/>
              <w:rPr>
                <w:sz w:val="20"/>
                <w:szCs w:val="20"/>
                <w:lang w:val="fr-FR"/>
              </w:rPr>
            </w:pPr>
            <w:r w:rsidRPr="00EE01B4">
              <w:rPr>
                <w:sz w:val="20"/>
                <w:szCs w:val="20"/>
                <w:lang w:val="fr-FR"/>
              </w:rPr>
              <w:t>EFS</w:t>
            </w:r>
          </w:p>
        </w:tc>
        <w:tc>
          <w:tcPr>
            <w:tcW w:w="5336" w:type="dxa"/>
          </w:tcPr>
          <w:p w:rsidR="0005358A" w:rsidRPr="00EE01B4" w:rsidRDefault="0005358A" w:rsidP="002C7DCC">
            <w:pPr>
              <w:rPr>
                <w:rFonts w:cs="Arial"/>
                <w:sz w:val="20"/>
                <w:szCs w:val="20"/>
                <w:lang w:val="fr-FR"/>
              </w:rPr>
            </w:pPr>
            <w:r w:rsidRPr="00EE01B4">
              <w:rPr>
                <w:rFonts w:cs="Arial"/>
                <w:sz w:val="20"/>
                <w:szCs w:val="20"/>
                <w:u w:val="single"/>
                <w:lang w:val="fr-FR"/>
              </w:rPr>
              <w:t>Résumé</w:t>
            </w:r>
            <w:r w:rsidRPr="00EE01B4">
              <w:rPr>
                <w:rFonts w:cs="Arial"/>
                <w:sz w:val="20"/>
                <w:szCs w:val="20"/>
                <w:lang w:val="fr-FR"/>
              </w:rPr>
              <w:t xml:space="preserve"> : « [Ces lignes directrices] sont conçues comme un </w:t>
            </w:r>
            <w:r w:rsidRPr="00EE01B4">
              <w:rPr>
                <w:rFonts w:cs="Arial"/>
                <w:sz w:val="20"/>
                <w:szCs w:val="20"/>
                <w:lang w:val="fr-FR"/>
              </w:rPr>
              <w:lastRenderedPageBreak/>
              <w:t>ensemble d’outils optionnels pour aider ceux qui ont un besoin urgent et/ou une capacité et des ressources limitées pour entreprendre, au besoin, des inventaires, une évaluation et un suivi rapides de la diversité biologique des eaux intérieures, côtières et des écosystèmes marins proches du rivage. Elles se concentrent essentiellement sur des considérations au niveau des espèces (</w:t>
            </w:r>
            <w:proofErr w:type="spellStart"/>
            <w:r w:rsidRPr="00EE01B4">
              <w:rPr>
                <w:rFonts w:cs="Arial"/>
                <w:sz w:val="20"/>
                <w:szCs w:val="20"/>
                <w:lang w:val="fr-FR"/>
              </w:rPr>
              <w:t>c.</w:t>
            </w:r>
            <w:r w:rsidRPr="00EE01B4">
              <w:rPr>
                <w:rFonts w:cs="Arial"/>
                <w:sz w:val="20"/>
                <w:szCs w:val="20"/>
                <w:lang w:val="fr-FR"/>
              </w:rPr>
              <w:noBreakHyphen/>
              <w:t>à</w:t>
            </w:r>
            <w:r w:rsidRPr="00EE01B4">
              <w:rPr>
                <w:rFonts w:cs="Arial"/>
                <w:sz w:val="20"/>
                <w:szCs w:val="20"/>
                <w:lang w:val="fr-FR"/>
              </w:rPr>
              <w:noBreakHyphen/>
              <w:t>d</w:t>
            </w:r>
            <w:proofErr w:type="spellEnd"/>
            <w:r w:rsidRPr="00EE01B4">
              <w:rPr>
                <w:rFonts w:cs="Arial"/>
                <w:sz w:val="20"/>
                <w:szCs w:val="20"/>
                <w:lang w:val="fr-FR"/>
              </w:rPr>
              <w:t xml:space="preserve">, évaluations de taxons) mais comprennent aussi quelques outils utiles pour l’évaluation au niveau des habitats/écosystèmes… Un cadre conceptuel global pour l’évaluation rapide est présenté, allant de la définition du but à la diffusion des résultats. » </w:t>
            </w:r>
          </w:p>
        </w:tc>
      </w:tr>
      <w:tr w:rsidR="0005358A" w:rsidRPr="00EE01B4" w:rsidTr="004728C4">
        <w:tc>
          <w:tcPr>
            <w:tcW w:w="3067" w:type="dxa"/>
          </w:tcPr>
          <w:p w:rsidR="0005358A" w:rsidRPr="00EE01B4" w:rsidRDefault="00DF180B" w:rsidP="002C7DCC">
            <w:pPr>
              <w:spacing w:after="40"/>
              <w:rPr>
                <w:sz w:val="20"/>
                <w:szCs w:val="20"/>
                <w:lang w:val="en-GB"/>
              </w:rPr>
            </w:pPr>
            <w:hyperlink r:id="rId20" w:history="1">
              <w:r w:rsidR="0005358A" w:rsidRPr="00EE01B4">
                <w:rPr>
                  <w:rStyle w:val="Hyperlink"/>
                  <w:sz w:val="20"/>
                  <w:szCs w:val="20"/>
                  <w:lang w:val="en-GB"/>
                </w:rPr>
                <w:t>Rapport technique Ramsar n</w:t>
              </w:r>
              <w:r w:rsidR="0005358A" w:rsidRPr="00EE01B4">
                <w:rPr>
                  <w:rStyle w:val="Hyperlink"/>
                  <w:sz w:val="20"/>
                  <w:szCs w:val="20"/>
                  <w:vertAlign w:val="superscript"/>
                  <w:lang w:val="en-GB"/>
                </w:rPr>
                <w:t>o</w:t>
              </w:r>
              <w:r w:rsidR="0005358A" w:rsidRPr="00EE01B4">
                <w:rPr>
                  <w:rStyle w:val="Hyperlink"/>
                  <w:sz w:val="20"/>
                  <w:szCs w:val="20"/>
                  <w:lang w:val="en-GB"/>
                </w:rPr>
                <w:t> 2 : Low-cost GIS software and data for wetland inventory, assessment &amp; monitoring</w:t>
              </w:r>
            </w:hyperlink>
          </w:p>
        </w:tc>
        <w:tc>
          <w:tcPr>
            <w:tcW w:w="2171" w:type="dxa"/>
          </w:tcPr>
          <w:p w:rsidR="0005358A" w:rsidRPr="00EE01B4" w:rsidRDefault="0005358A" w:rsidP="00D45DDB">
            <w:pPr>
              <w:rPr>
                <w:rFonts w:cs="Arial"/>
                <w:sz w:val="20"/>
                <w:szCs w:val="20"/>
                <w:lang w:val="fr-FR"/>
              </w:rPr>
            </w:pPr>
            <w:r w:rsidRPr="00EE01B4">
              <w:rPr>
                <w:rFonts w:cs="Arial"/>
                <w:sz w:val="20"/>
                <w:szCs w:val="20"/>
                <w:lang w:val="fr-FR"/>
              </w:rPr>
              <w:t>Scientifique/</w:t>
            </w:r>
          </w:p>
          <w:p w:rsidR="0005358A" w:rsidRPr="00EE01B4" w:rsidRDefault="0005358A" w:rsidP="00D45DDB">
            <w:pPr>
              <w:rPr>
                <w:rFonts w:cs="Arial"/>
                <w:sz w:val="20"/>
                <w:szCs w:val="20"/>
                <w:lang w:val="fr-FR"/>
              </w:rPr>
            </w:pPr>
            <w:r w:rsidRPr="00EE01B4">
              <w:rPr>
                <w:rFonts w:cs="Arial"/>
                <w:sz w:val="20"/>
                <w:szCs w:val="20"/>
                <w:lang w:val="fr-FR"/>
              </w:rPr>
              <w:t>Technique</w:t>
            </w:r>
          </w:p>
        </w:tc>
        <w:tc>
          <w:tcPr>
            <w:tcW w:w="2520" w:type="dxa"/>
          </w:tcPr>
          <w:p w:rsidR="0005358A" w:rsidRPr="00EE01B4" w:rsidRDefault="0005358A" w:rsidP="00B5352E">
            <w:pPr>
              <w:rPr>
                <w:rFonts w:cs="Arial"/>
                <w:sz w:val="20"/>
                <w:szCs w:val="20"/>
                <w:lang w:val="fr-FR"/>
              </w:rPr>
            </w:pPr>
            <w:r w:rsidRPr="00EE01B4">
              <w:rPr>
                <w:rFonts w:cs="Arial"/>
                <w:sz w:val="20"/>
                <w:szCs w:val="20"/>
                <w:lang w:val="fr-FR"/>
              </w:rPr>
              <w:t>Scientifiques, praticiens</w:t>
            </w:r>
          </w:p>
        </w:tc>
        <w:tc>
          <w:tcPr>
            <w:tcW w:w="1260" w:type="dxa"/>
          </w:tcPr>
          <w:p w:rsidR="0005358A" w:rsidRPr="00EE01B4" w:rsidRDefault="0005358A" w:rsidP="00B5352E">
            <w:pPr>
              <w:rPr>
                <w:rFonts w:cs="Arial"/>
                <w:sz w:val="20"/>
                <w:szCs w:val="20"/>
                <w:lang w:val="fr-FR"/>
              </w:rPr>
            </w:pPr>
          </w:p>
        </w:tc>
        <w:tc>
          <w:tcPr>
            <w:tcW w:w="1260" w:type="dxa"/>
          </w:tcPr>
          <w:p w:rsidR="0005358A" w:rsidRPr="00EE01B4" w:rsidRDefault="0005358A" w:rsidP="00B67CE7">
            <w:pPr>
              <w:spacing w:after="40"/>
              <w:rPr>
                <w:sz w:val="20"/>
                <w:szCs w:val="20"/>
                <w:lang w:val="fr-FR"/>
              </w:rPr>
            </w:pPr>
            <w:r w:rsidRPr="00EE01B4">
              <w:rPr>
                <w:sz w:val="20"/>
                <w:szCs w:val="20"/>
                <w:lang w:val="fr-FR"/>
              </w:rPr>
              <w:t>ES</w:t>
            </w:r>
          </w:p>
        </w:tc>
        <w:tc>
          <w:tcPr>
            <w:tcW w:w="5336" w:type="dxa"/>
          </w:tcPr>
          <w:p w:rsidR="0005358A" w:rsidRPr="00EE01B4" w:rsidRDefault="0005358A" w:rsidP="00B67CE7">
            <w:pPr>
              <w:rPr>
                <w:rFonts w:cs="Arial"/>
                <w:sz w:val="20"/>
                <w:szCs w:val="20"/>
                <w:lang w:val="fr-FR"/>
              </w:rPr>
            </w:pPr>
            <w:r w:rsidRPr="00EE01B4">
              <w:rPr>
                <w:rFonts w:cs="Arial"/>
                <w:sz w:val="20"/>
                <w:szCs w:val="20"/>
                <w:u w:val="single"/>
                <w:lang w:val="fr-FR"/>
              </w:rPr>
              <w:t>Résumé</w:t>
            </w:r>
            <w:r w:rsidRPr="00EE01B4">
              <w:rPr>
                <w:rFonts w:cs="Arial"/>
                <w:sz w:val="20"/>
                <w:szCs w:val="20"/>
                <w:lang w:val="fr-FR"/>
              </w:rPr>
              <w:t xml:space="preserve"> : Ces orientations ont été préparées pour servir d’introduction générale aux questions de SIG, leur application non seulement aux inventaires des zones humides, mais aussi dans un but d’évaluation et de suivi des zones humides et d’autres applications, afin de couvrir toute la gamme du cadre intégré pour l’inventaire, l’évaluation et le suivi des zones humides préparé parallèlement par le GEST (COP9 Résolution IX.1 … annexe E). Cette vue d’ensemble souligne les questions de gestion des données et fournit des orientations sur un ensemble de critères qui devraient être appliqués par tous ceux qui envisagent d’utiliser des systèmes SIG pour la manipulation et la gestion des données sur les zones humides. Des informations sur les logiciels de visualisation des données disponibles et les produits SIG à faible coût sont fournies…  </w:t>
            </w:r>
          </w:p>
        </w:tc>
      </w:tr>
      <w:tr w:rsidR="0005358A" w:rsidRPr="00EE01B4" w:rsidTr="004728C4">
        <w:tc>
          <w:tcPr>
            <w:tcW w:w="3067" w:type="dxa"/>
          </w:tcPr>
          <w:p w:rsidR="0005358A" w:rsidRPr="00EE01B4" w:rsidRDefault="00DF180B" w:rsidP="002C7DCC">
            <w:pPr>
              <w:spacing w:after="40"/>
              <w:rPr>
                <w:sz w:val="20"/>
                <w:szCs w:val="20"/>
                <w:lang w:val="en-GB"/>
              </w:rPr>
            </w:pPr>
            <w:hyperlink r:id="rId21" w:history="1">
              <w:r w:rsidR="0005358A" w:rsidRPr="00EE01B4">
                <w:rPr>
                  <w:rStyle w:val="Hyperlink"/>
                  <w:sz w:val="20"/>
                  <w:szCs w:val="20"/>
                  <w:lang w:val="en-GB"/>
                </w:rPr>
                <w:t>Rapport technique Ramsar n</w:t>
              </w:r>
              <w:r w:rsidR="0005358A" w:rsidRPr="00EE01B4">
                <w:rPr>
                  <w:rStyle w:val="Hyperlink"/>
                  <w:sz w:val="20"/>
                  <w:szCs w:val="20"/>
                  <w:vertAlign w:val="superscript"/>
                  <w:lang w:val="en-GB"/>
                </w:rPr>
                <w:t>o </w:t>
              </w:r>
              <w:r w:rsidR="0005358A" w:rsidRPr="00EE01B4">
                <w:rPr>
                  <w:rStyle w:val="Hyperlink"/>
                  <w:sz w:val="20"/>
                  <w:szCs w:val="20"/>
                  <w:lang w:val="en-GB"/>
                </w:rPr>
                <w:t xml:space="preserve">4 : A Framework for a Wetland Inventory </w:t>
              </w:r>
              <w:proofErr w:type="spellStart"/>
              <w:r w:rsidR="0005358A" w:rsidRPr="00EE01B4">
                <w:rPr>
                  <w:rStyle w:val="Hyperlink"/>
                  <w:sz w:val="20"/>
                  <w:szCs w:val="20"/>
                  <w:lang w:val="en-GB"/>
                </w:rPr>
                <w:t>Metadatabase</w:t>
              </w:r>
              <w:proofErr w:type="spellEnd"/>
            </w:hyperlink>
          </w:p>
        </w:tc>
        <w:tc>
          <w:tcPr>
            <w:tcW w:w="2171" w:type="dxa"/>
          </w:tcPr>
          <w:p w:rsidR="0005358A" w:rsidRPr="00EE01B4" w:rsidRDefault="0005358A" w:rsidP="00D45DDB">
            <w:pPr>
              <w:rPr>
                <w:rFonts w:cs="Arial"/>
                <w:sz w:val="20"/>
                <w:szCs w:val="20"/>
                <w:lang w:val="fr-FR"/>
              </w:rPr>
            </w:pPr>
            <w:r w:rsidRPr="00EE01B4">
              <w:rPr>
                <w:rFonts w:cs="Arial"/>
                <w:sz w:val="20"/>
                <w:szCs w:val="20"/>
                <w:lang w:val="fr-FR"/>
              </w:rPr>
              <w:t>Scientifique/</w:t>
            </w:r>
          </w:p>
          <w:p w:rsidR="0005358A" w:rsidRPr="00EE01B4" w:rsidRDefault="0005358A" w:rsidP="00D45DDB">
            <w:pPr>
              <w:rPr>
                <w:rFonts w:cs="Arial"/>
                <w:sz w:val="20"/>
                <w:szCs w:val="20"/>
                <w:lang w:val="fr-FR"/>
              </w:rPr>
            </w:pPr>
            <w:r w:rsidRPr="00EE01B4">
              <w:rPr>
                <w:rFonts w:cs="Arial"/>
                <w:sz w:val="20"/>
                <w:szCs w:val="20"/>
                <w:lang w:val="fr-FR"/>
              </w:rPr>
              <w:t>Technique</w:t>
            </w:r>
          </w:p>
        </w:tc>
        <w:tc>
          <w:tcPr>
            <w:tcW w:w="2520" w:type="dxa"/>
          </w:tcPr>
          <w:p w:rsidR="0005358A" w:rsidRPr="00EE01B4" w:rsidRDefault="0005358A" w:rsidP="00B5352E">
            <w:pPr>
              <w:rPr>
                <w:rFonts w:cs="Arial"/>
                <w:sz w:val="20"/>
                <w:szCs w:val="20"/>
                <w:lang w:val="fr-FR"/>
              </w:rPr>
            </w:pPr>
            <w:r w:rsidRPr="00EE01B4">
              <w:rPr>
                <w:rFonts w:cs="Arial"/>
                <w:sz w:val="20"/>
                <w:szCs w:val="20"/>
                <w:lang w:val="fr-FR"/>
              </w:rPr>
              <w:t>Scientifiques</w:t>
            </w:r>
          </w:p>
        </w:tc>
        <w:tc>
          <w:tcPr>
            <w:tcW w:w="1260" w:type="dxa"/>
          </w:tcPr>
          <w:p w:rsidR="0005358A" w:rsidRPr="00EE01B4" w:rsidRDefault="0005358A" w:rsidP="00B5352E">
            <w:pPr>
              <w:rPr>
                <w:rFonts w:cs="Arial"/>
                <w:sz w:val="20"/>
                <w:szCs w:val="20"/>
                <w:lang w:val="fr-FR"/>
              </w:rPr>
            </w:pPr>
          </w:p>
        </w:tc>
        <w:tc>
          <w:tcPr>
            <w:tcW w:w="1260" w:type="dxa"/>
          </w:tcPr>
          <w:p w:rsidR="0005358A" w:rsidRPr="00EE01B4" w:rsidRDefault="0005358A" w:rsidP="00B5352E">
            <w:pPr>
              <w:spacing w:after="40"/>
              <w:rPr>
                <w:sz w:val="20"/>
                <w:szCs w:val="20"/>
                <w:lang w:val="fr-FR"/>
              </w:rPr>
            </w:pPr>
            <w:r w:rsidRPr="00EE01B4">
              <w:rPr>
                <w:sz w:val="20"/>
                <w:szCs w:val="20"/>
                <w:lang w:val="fr-FR"/>
              </w:rPr>
              <w:t>E</w:t>
            </w:r>
          </w:p>
        </w:tc>
        <w:tc>
          <w:tcPr>
            <w:tcW w:w="5336" w:type="dxa"/>
          </w:tcPr>
          <w:p w:rsidR="0005358A" w:rsidRPr="00EE01B4" w:rsidRDefault="0005358A" w:rsidP="00113533">
            <w:pPr>
              <w:rPr>
                <w:rFonts w:cs="Arial"/>
                <w:sz w:val="20"/>
                <w:szCs w:val="20"/>
                <w:lang w:val="fr-FR"/>
              </w:rPr>
            </w:pPr>
            <w:r w:rsidRPr="00EE01B4">
              <w:rPr>
                <w:rFonts w:cs="Arial"/>
                <w:sz w:val="20"/>
                <w:szCs w:val="20"/>
                <w:u w:val="single"/>
                <w:lang w:val="fr-FR"/>
              </w:rPr>
              <w:t>Résumé</w:t>
            </w:r>
            <w:r w:rsidRPr="00EE01B4">
              <w:rPr>
                <w:rFonts w:cs="Arial"/>
                <w:sz w:val="20"/>
                <w:szCs w:val="20"/>
                <w:lang w:val="fr-FR"/>
              </w:rPr>
              <w:t xml:space="preserve"> : Le modèle de </w:t>
            </w:r>
            <w:proofErr w:type="spellStart"/>
            <w:r w:rsidRPr="00EE01B4">
              <w:rPr>
                <w:rFonts w:cs="Arial"/>
                <w:sz w:val="20"/>
                <w:szCs w:val="20"/>
                <w:lang w:val="fr-FR"/>
              </w:rPr>
              <w:t>métabase</w:t>
            </w:r>
            <w:proofErr w:type="spellEnd"/>
            <w:r w:rsidRPr="00EE01B4">
              <w:rPr>
                <w:rFonts w:cs="Arial"/>
                <w:sz w:val="20"/>
                <w:szCs w:val="20"/>
                <w:lang w:val="fr-FR"/>
              </w:rPr>
              <w:t xml:space="preserve"> de données pour l’inventaire des zones humides normalisé fourni dans ce Rapport technique Ramsar permet d’obtenir, rassembler et compiler de manière cohérente l’information sur l’inventaire des zones humides dans le monde entier et peut être utilisé par tous ceux qui ont entrepris un inventaire des zones humides, quelle qu’en soit l’échelle spatiale (géographique)… Le cadre de </w:t>
            </w:r>
            <w:proofErr w:type="spellStart"/>
            <w:r w:rsidRPr="00EE01B4">
              <w:rPr>
                <w:rFonts w:cs="Arial"/>
                <w:sz w:val="20"/>
                <w:szCs w:val="20"/>
                <w:lang w:val="fr-FR"/>
              </w:rPr>
              <w:t>métabase</w:t>
            </w:r>
            <w:proofErr w:type="spellEnd"/>
            <w:r w:rsidRPr="00EE01B4">
              <w:rPr>
                <w:rFonts w:cs="Arial"/>
                <w:sz w:val="20"/>
                <w:szCs w:val="20"/>
                <w:lang w:val="fr-FR"/>
              </w:rPr>
              <w:t xml:space="preserve"> de données qui en résulte a été élaboré à partir de champs de </w:t>
            </w:r>
            <w:proofErr w:type="spellStart"/>
            <w:r w:rsidRPr="00EE01B4">
              <w:rPr>
                <w:rFonts w:cs="Arial"/>
                <w:sz w:val="20"/>
                <w:szCs w:val="20"/>
                <w:lang w:val="fr-FR"/>
              </w:rPr>
              <w:t>métabase</w:t>
            </w:r>
            <w:proofErr w:type="spellEnd"/>
            <w:r w:rsidRPr="00EE01B4">
              <w:rPr>
                <w:rFonts w:cs="Arial"/>
                <w:sz w:val="20"/>
                <w:szCs w:val="20"/>
                <w:lang w:val="fr-FR"/>
              </w:rPr>
              <w:t xml:space="preserve"> de données centraux pour l’inventaire des zones humides, identifiés dans le projet </w:t>
            </w:r>
            <w:proofErr w:type="spellStart"/>
            <w:r w:rsidRPr="00EE01B4">
              <w:rPr>
                <w:rFonts w:cs="Arial"/>
                <w:sz w:val="20"/>
                <w:szCs w:val="20"/>
                <w:lang w:val="fr-FR"/>
              </w:rPr>
              <w:t>GRoWI</w:t>
            </w:r>
            <w:proofErr w:type="spellEnd"/>
            <w:r w:rsidRPr="00EE01B4">
              <w:rPr>
                <w:rFonts w:cs="Arial"/>
                <w:sz w:val="20"/>
                <w:szCs w:val="20"/>
                <w:lang w:val="fr-FR"/>
              </w:rPr>
              <w:t xml:space="preserve">, intégrés à d’autres champs de </w:t>
            </w:r>
            <w:proofErr w:type="spellStart"/>
            <w:r w:rsidRPr="00EE01B4">
              <w:rPr>
                <w:rFonts w:cs="Arial"/>
                <w:sz w:val="20"/>
                <w:szCs w:val="20"/>
                <w:lang w:val="fr-FR"/>
              </w:rPr>
              <w:t>métabase</w:t>
            </w:r>
            <w:proofErr w:type="spellEnd"/>
            <w:r w:rsidRPr="00EE01B4">
              <w:rPr>
                <w:rFonts w:cs="Arial"/>
                <w:sz w:val="20"/>
                <w:szCs w:val="20"/>
                <w:lang w:val="fr-FR"/>
              </w:rPr>
              <w:t xml:space="preserve"> de données reconnus au plan international qui sont utilisés ailleurs dans le monde. Le cadre de </w:t>
            </w:r>
            <w:proofErr w:type="spellStart"/>
            <w:r w:rsidRPr="00EE01B4">
              <w:rPr>
                <w:rFonts w:cs="Arial"/>
                <w:sz w:val="20"/>
                <w:szCs w:val="20"/>
                <w:lang w:val="fr-FR"/>
              </w:rPr>
              <w:t>métabase</w:t>
            </w:r>
            <w:proofErr w:type="spellEnd"/>
            <w:r w:rsidRPr="00EE01B4">
              <w:rPr>
                <w:rFonts w:cs="Arial"/>
                <w:sz w:val="20"/>
                <w:szCs w:val="20"/>
                <w:lang w:val="fr-FR"/>
              </w:rPr>
              <w:t xml:space="preserve"> de données a été conçu pour </w:t>
            </w:r>
            <w:r w:rsidRPr="00EE01B4">
              <w:rPr>
                <w:rFonts w:cs="Arial"/>
                <w:sz w:val="20"/>
                <w:szCs w:val="20"/>
                <w:lang w:val="fr-FR"/>
              </w:rPr>
              <w:lastRenderedPageBreak/>
              <w:t xml:space="preserve">fournir la base de l’élaboration d’un système de </w:t>
            </w:r>
            <w:proofErr w:type="spellStart"/>
            <w:r w:rsidRPr="00EE01B4">
              <w:rPr>
                <w:rFonts w:cs="Arial"/>
                <w:sz w:val="20"/>
                <w:szCs w:val="20"/>
                <w:lang w:val="fr-FR"/>
              </w:rPr>
              <w:t>métabase</w:t>
            </w:r>
            <w:proofErr w:type="spellEnd"/>
            <w:r w:rsidRPr="00EE01B4">
              <w:rPr>
                <w:rFonts w:cs="Arial"/>
                <w:sz w:val="20"/>
                <w:szCs w:val="20"/>
                <w:lang w:val="fr-FR"/>
              </w:rPr>
              <w:t xml:space="preserve"> de données d’inventaire des zones humides en ligne sur internet qui peut fournir des indications accessibles sur les inventaires des zones humides dans le monde entier.  </w:t>
            </w:r>
          </w:p>
        </w:tc>
      </w:tr>
      <w:tr w:rsidR="0005358A" w:rsidRPr="00EE01B4" w:rsidTr="004728C4">
        <w:tc>
          <w:tcPr>
            <w:tcW w:w="3067" w:type="dxa"/>
          </w:tcPr>
          <w:p w:rsidR="0005358A" w:rsidRPr="00EE01B4" w:rsidRDefault="00DF180B" w:rsidP="001513AF">
            <w:pPr>
              <w:spacing w:after="40"/>
              <w:rPr>
                <w:sz w:val="20"/>
                <w:szCs w:val="20"/>
                <w:lang w:val="en-GB"/>
              </w:rPr>
            </w:pPr>
            <w:hyperlink r:id="rId22" w:history="1">
              <w:r w:rsidR="0005358A" w:rsidRPr="00EE01B4">
                <w:rPr>
                  <w:rStyle w:val="Hyperlink"/>
                  <w:sz w:val="20"/>
                  <w:szCs w:val="20"/>
                  <w:lang w:val="en-GB"/>
                </w:rPr>
                <w:t>Rapport technique Ramsar n</w:t>
              </w:r>
              <w:r w:rsidR="0005358A" w:rsidRPr="00EE01B4">
                <w:rPr>
                  <w:rStyle w:val="Hyperlink"/>
                  <w:sz w:val="20"/>
                  <w:szCs w:val="20"/>
                  <w:vertAlign w:val="superscript"/>
                  <w:lang w:val="en-GB"/>
                </w:rPr>
                <w:t>o</w:t>
              </w:r>
              <w:r w:rsidR="0005358A" w:rsidRPr="00EE01B4">
                <w:rPr>
                  <w:rStyle w:val="Hyperlink"/>
                  <w:sz w:val="20"/>
                  <w:szCs w:val="20"/>
                  <w:lang w:val="en-GB"/>
                </w:rPr>
                <w:t> 7 : Ramsar Wetland Disease Manual: Guidelines for Assessment, Monitoring and Management of Animal Disease in Wetlands</w:t>
              </w:r>
            </w:hyperlink>
          </w:p>
        </w:tc>
        <w:tc>
          <w:tcPr>
            <w:tcW w:w="2171" w:type="dxa"/>
          </w:tcPr>
          <w:p w:rsidR="0005358A" w:rsidRPr="00EE01B4" w:rsidRDefault="0005358A" w:rsidP="00D45DDB">
            <w:pPr>
              <w:rPr>
                <w:rFonts w:cs="Arial"/>
                <w:sz w:val="20"/>
                <w:szCs w:val="20"/>
                <w:lang w:val="fr-FR"/>
              </w:rPr>
            </w:pPr>
            <w:r w:rsidRPr="00EE01B4">
              <w:rPr>
                <w:rFonts w:cs="Arial"/>
                <w:sz w:val="20"/>
                <w:szCs w:val="20"/>
                <w:lang w:val="fr-FR"/>
              </w:rPr>
              <w:t>Scientifique/</w:t>
            </w:r>
          </w:p>
          <w:p w:rsidR="0005358A" w:rsidRPr="00EE01B4" w:rsidRDefault="0005358A" w:rsidP="00D45DDB">
            <w:pPr>
              <w:rPr>
                <w:rFonts w:cs="Arial"/>
                <w:sz w:val="20"/>
                <w:szCs w:val="20"/>
                <w:lang w:val="fr-FR"/>
              </w:rPr>
            </w:pPr>
            <w:r w:rsidRPr="00EE01B4">
              <w:rPr>
                <w:rFonts w:cs="Arial"/>
                <w:sz w:val="20"/>
                <w:szCs w:val="20"/>
                <w:lang w:val="fr-FR"/>
              </w:rPr>
              <w:t>Technique</w:t>
            </w:r>
          </w:p>
        </w:tc>
        <w:tc>
          <w:tcPr>
            <w:tcW w:w="2520" w:type="dxa"/>
          </w:tcPr>
          <w:p w:rsidR="0005358A" w:rsidRPr="00EE01B4" w:rsidRDefault="0005358A" w:rsidP="00D45DDB">
            <w:pPr>
              <w:rPr>
                <w:rFonts w:cs="Arial"/>
                <w:sz w:val="20"/>
                <w:szCs w:val="20"/>
                <w:lang w:val="fr-FR"/>
              </w:rPr>
            </w:pPr>
            <w:r w:rsidRPr="00EE01B4">
              <w:rPr>
                <w:rFonts w:cs="Arial"/>
                <w:sz w:val="20"/>
                <w:szCs w:val="20"/>
                <w:lang w:val="fr-FR"/>
              </w:rPr>
              <w:t>Scientifiques, praticiens, décideurs</w:t>
            </w:r>
          </w:p>
        </w:tc>
        <w:tc>
          <w:tcPr>
            <w:tcW w:w="1260" w:type="dxa"/>
          </w:tcPr>
          <w:p w:rsidR="0005358A" w:rsidRPr="00EE01B4" w:rsidRDefault="0005358A" w:rsidP="00B5352E">
            <w:pPr>
              <w:rPr>
                <w:rFonts w:cs="Arial"/>
                <w:sz w:val="20"/>
                <w:szCs w:val="20"/>
                <w:lang w:val="fr-FR"/>
              </w:rPr>
            </w:pPr>
          </w:p>
        </w:tc>
        <w:tc>
          <w:tcPr>
            <w:tcW w:w="1260" w:type="dxa"/>
          </w:tcPr>
          <w:p w:rsidR="0005358A" w:rsidRPr="00EE01B4" w:rsidRDefault="0005358A" w:rsidP="00B5352E">
            <w:pPr>
              <w:spacing w:after="40"/>
              <w:rPr>
                <w:sz w:val="20"/>
                <w:szCs w:val="20"/>
                <w:lang w:val="fr-FR"/>
              </w:rPr>
            </w:pPr>
            <w:r w:rsidRPr="00EE01B4">
              <w:rPr>
                <w:sz w:val="20"/>
                <w:szCs w:val="20"/>
                <w:lang w:val="fr-FR"/>
              </w:rPr>
              <w:t>E</w:t>
            </w:r>
          </w:p>
        </w:tc>
        <w:tc>
          <w:tcPr>
            <w:tcW w:w="5336" w:type="dxa"/>
          </w:tcPr>
          <w:p w:rsidR="0005358A" w:rsidRPr="00EE01B4" w:rsidRDefault="0005358A" w:rsidP="0044386B">
            <w:pPr>
              <w:rPr>
                <w:rFonts w:cs="Arial"/>
                <w:sz w:val="20"/>
                <w:szCs w:val="20"/>
                <w:lang w:val="fr-FR"/>
              </w:rPr>
            </w:pPr>
            <w:r w:rsidRPr="00EE01B4">
              <w:rPr>
                <w:rFonts w:cs="Arial"/>
                <w:sz w:val="20"/>
                <w:szCs w:val="20"/>
                <w:u w:val="single"/>
                <w:lang w:val="fr-FR"/>
              </w:rPr>
              <w:t>Résumé</w:t>
            </w:r>
            <w:r w:rsidRPr="00EE01B4">
              <w:rPr>
                <w:rFonts w:cs="Arial"/>
                <w:sz w:val="20"/>
                <w:szCs w:val="20"/>
                <w:lang w:val="fr-FR"/>
              </w:rPr>
              <w:t> : Ce Manuel a pour objet de fournir au lecteur une vue d’ensemble des principes et points pratiques permettant de gérer les maladies animales dans les zones humides. Le Manuel souligne l’importance d’inclure la prévention et le contrôle des maladies dans les plans de gestion des zones humides et fournit des orientations sur les moyens de le faire. Il devrait être utilisé conjointement avec le Manuel Ramsar n</w:t>
            </w:r>
            <w:r w:rsidRPr="00EE01B4">
              <w:rPr>
                <w:rFonts w:cs="Arial"/>
                <w:sz w:val="20"/>
                <w:szCs w:val="20"/>
                <w:vertAlign w:val="superscript"/>
                <w:lang w:val="fr-FR"/>
              </w:rPr>
              <w:t>o</w:t>
            </w:r>
            <w:r w:rsidRPr="00EE01B4">
              <w:rPr>
                <w:rFonts w:cs="Arial"/>
                <w:sz w:val="20"/>
                <w:szCs w:val="20"/>
                <w:lang w:val="fr-FR"/>
              </w:rPr>
              <w:t> 18 sur la gestion des zones humides. </w:t>
            </w:r>
          </w:p>
        </w:tc>
      </w:tr>
      <w:tr w:rsidR="0005358A" w:rsidRPr="00EE01B4" w:rsidTr="004728C4">
        <w:tc>
          <w:tcPr>
            <w:tcW w:w="15614" w:type="dxa"/>
            <w:gridSpan w:val="6"/>
            <w:shd w:val="clear" w:color="auto" w:fill="F2F2F2" w:themeFill="background1" w:themeFillShade="F2"/>
          </w:tcPr>
          <w:p w:rsidR="0005358A" w:rsidRPr="00EE01B4" w:rsidRDefault="0005358A" w:rsidP="00D45DDB">
            <w:pPr>
              <w:keepNext/>
              <w:keepLines/>
              <w:jc w:val="center"/>
              <w:rPr>
                <w:rFonts w:cs="Arial"/>
                <w:sz w:val="20"/>
                <w:szCs w:val="20"/>
                <w:lang w:val="fr-FR"/>
              </w:rPr>
            </w:pPr>
            <w:r w:rsidRPr="00EE01B4">
              <w:rPr>
                <w:rFonts w:cs="Arial"/>
                <w:b/>
                <w:sz w:val="20"/>
                <w:szCs w:val="20"/>
                <w:lang w:val="fr-FR"/>
              </w:rPr>
              <w:t>Autres orientations</w:t>
            </w:r>
          </w:p>
        </w:tc>
      </w:tr>
      <w:tr w:rsidR="001F7B58" w:rsidRPr="00EE01B4" w:rsidTr="00E900B3">
        <w:tc>
          <w:tcPr>
            <w:tcW w:w="15614" w:type="dxa"/>
            <w:gridSpan w:val="6"/>
            <w:shd w:val="clear" w:color="auto" w:fill="FBD4B4" w:themeFill="accent6" w:themeFillTint="66"/>
          </w:tcPr>
          <w:p w:rsidR="001F7B58" w:rsidRPr="00EE01B4" w:rsidRDefault="001F7B58" w:rsidP="00D45DDB">
            <w:pPr>
              <w:keepNext/>
              <w:keepLines/>
              <w:rPr>
                <w:rStyle w:val="Hyperlink"/>
                <w:color w:val="auto"/>
                <w:sz w:val="20"/>
                <w:szCs w:val="20"/>
                <w:u w:val="none"/>
                <w:lang w:val="fr-FR"/>
              </w:rPr>
            </w:pPr>
            <w:r w:rsidRPr="00EE01B4">
              <w:rPr>
                <w:b/>
                <w:sz w:val="20"/>
                <w:szCs w:val="20"/>
                <w:lang w:val="fr-CH"/>
              </w:rPr>
              <w:t xml:space="preserve">Mise à jour 2016-2019 </w:t>
            </w:r>
          </w:p>
        </w:tc>
      </w:tr>
      <w:tr w:rsidR="0005358A" w:rsidRPr="00EE01B4" w:rsidTr="004728C4">
        <w:tc>
          <w:tcPr>
            <w:tcW w:w="3067" w:type="dxa"/>
          </w:tcPr>
          <w:p w:rsidR="0005358A" w:rsidRPr="00EE01B4" w:rsidRDefault="00DF180B" w:rsidP="0005358A">
            <w:pPr>
              <w:rPr>
                <w:sz w:val="20"/>
                <w:szCs w:val="20"/>
                <w:lang w:val="en-CA"/>
              </w:rPr>
            </w:pPr>
            <w:hyperlink r:id="rId23" w:history="1">
              <w:r w:rsidR="0005358A" w:rsidRPr="00EE01B4">
                <w:rPr>
                  <w:rStyle w:val="Hyperlink"/>
                  <w:sz w:val="20"/>
                  <w:szCs w:val="20"/>
                  <w:lang w:val="en-CA"/>
                </w:rPr>
                <w:t>Guidelines for using A global standard for the identification of Key Biodiversity Areas : version 1.0</w:t>
              </w:r>
            </w:hyperlink>
          </w:p>
        </w:tc>
        <w:tc>
          <w:tcPr>
            <w:tcW w:w="2171" w:type="dxa"/>
          </w:tcPr>
          <w:p w:rsidR="0005358A" w:rsidRPr="00EE01B4" w:rsidRDefault="0005358A" w:rsidP="0005358A">
            <w:pPr>
              <w:rPr>
                <w:rFonts w:cs="Arial"/>
                <w:sz w:val="20"/>
                <w:szCs w:val="20"/>
                <w:lang w:val="en-CA"/>
              </w:rPr>
            </w:pPr>
          </w:p>
        </w:tc>
        <w:tc>
          <w:tcPr>
            <w:tcW w:w="2520" w:type="dxa"/>
          </w:tcPr>
          <w:p w:rsidR="0005358A" w:rsidRPr="00EE01B4" w:rsidRDefault="0005358A" w:rsidP="0005358A">
            <w:pPr>
              <w:rPr>
                <w:rFonts w:cs="Arial"/>
                <w:sz w:val="20"/>
                <w:szCs w:val="20"/>
                <w:lang w:val="en-CA"/>
              </w:rPr>
            </w:pPr>
          </w:p>
        </w:tc>
        <w:tc>
          <w:tcPr>
            <w:tcW w:w="1260" w:type="dxa"/>
          </w:tcPr>
          <w:p w:rsidR="0005358A" w:rsidRPr="00EE01B4" w:rsidRDefault="0005358A" w:rsidP="0005358A">
            <w:pPr>
              <w:rPr>
                <w:rFonts w:cs="Arial"/>
                <w:sz w:val="20"/>
                <w:szCs w:val="20"/>
                <w:lang w:val="en-CA"/>
              </w:rPr>
            </w:pPr>
          </w:p>
        </w:tc>
        <w:tc>
          <w:tcPr>
            <w:tcW w:w="1260" w:type="dxa"/>
          </w:tcPr>
          <w:p w:rsidR="0005358A" w:rsidRPr="00EE01B4" w:rsidRDefault="0005358A" w:rsidP="0005358A">
            <w:pPr>
              <w:rPr>
                <w:sz w:val="20"/>
                <w:szCs w:val="20"/>
                <w:lang w:val="fr-CH"/>
              </w:rPr>
            </w:pPr>
            <w:r w:rsidRPr="00EE01B4">
              <w:rPr>
                <w:rStyle w:val="Hyperlink"/>
                <w:color w:val="auto"/>
                <w:sz w:val="20"/>
                <w:szCs w:val="20"/>
                <w:u w:val="none"/>
                <w:lang w:val="fr-CH"/>
              </w:rPr>
              <w:t>E</w:t>
            </w:r>
          </w:p>
        </w:tc>
        <w:tc>
          <w:tcPr>
            <w:tcW w:w="5336" w:type="dxa"/>
          </w:tcPr>
          <w:p w:rsidR="0005358A" w:rsidRPr="00EE01B4" w:rsidRDefault="0005358A" w:rsidP="0005358A">
            <w:pPr>
              <w:rPr>
                <w:rStyle w:val="Hyperlink"/>
                <w:color w:val="auto"/>
                <w:sz w:val="20"/>
                <w:szCs w:val="20"/>
                <w:u w:val="none"/>
                <w:lang w:val="fr-CH"/>
              </w:rPr>
            </w:pPr>
            <w:r w:rsidRPr="00EE01B4">
              <w:rPr>
                <w:rStyle w:val="Hyperlink"/>
                <w:color w:val="auto"/>
                <w:sz w:val="20"/>
                <w:szCs w:val="20"/>
                <w:u w:val="none"/>
                <w:lang w:val="fr-CH"/>
              </w:rPr>
              <w:t>UICN</w:t>
            </w:r>
          </w:p>
          <w:p w:rsidR="0005358A" w:rsidRPr="00EE01B4" w:rsidRDefault="0005358A" w:rsidP="0005358A">
            <w:pPr>
              <w:rPr>
                <w:rFonts w:cs="Arial"/>
                <w:sz w:val="20"/>
                <w:szCs w:val="20"/>
                <w:u w:val="single"/>
                <w:lang w:val="fr-CH"/>
              </w:rPr>
            </w:pPr>
            <w:r w:rsidRPr="00EE01B4">
              <w:rPr>
                <w:sz w:val="20"/>
                <w:szCs w:val="20"/>
                <w:u w:val="single"/>
                <w:lang w:val="fr-CH"/>
              </w:rPr>
              <w:t xml:space="preserve">Résumé : </w:t>
            </w:r>
            <w:r w:rsidRPr="00EE01B4">
              <w:rPr>
                <w:sz w:val="20"/>
                <w:szCs w:val="20"/>
                <w:lang w:val="fr-CH"/>
              </w:rPr>
              <w:t>Ces lignes directrices ont pour but de s'assurer que l'identification des Zones clés pour la Biodiversité (KBA) se fonde sur des méthodes cohérentes, scientifiquement rigoureuses mais pratiques. Les lignes directrices KBA donnent un aperçu des étapes d'identification et de délimitation des KBA, ainsi qu'une explication sur la manière dont les critères, seuils et procédures de délimitation des KBA doivent être appliqués dans la pratique. Les Lignes directrices KBA s'adressent principalement aux personnes ou organisations qui s’intéressent aux KBA ou désirent en proposer.</w:t>
            </w:r>
          </w:p>
        </w:tc>
      </w:tr>
      <w:tr w:rsidR="0005358A" w:rsidRPr="00EE01B4" w:rsidTr="001F7B58">
        <w:tc>
          <w:tcPr>
            <w:tcW w:w="15614" w:type="dxa"/>
            <w:gridSpan w:val="6"/>
            <w:shd w:val="clear" w:color="auto" w:fill="FBD4B4" w:themeFill="accent6" w:themeFillTint="66"/>
          </w:tcPr>
          <w:p w:rsidR="0005358A" w:rsidRPr="00EE01B4" w:rsidRDefault="006F2361" w:rsidP="00D45DDB">
            <w:pPr>
              <w:keepNext/>
              <w:keepLines/>
              <w:rPr>
                <w:rStyle w:val="Hyperlink"/>
                <w:color w:val="auto"/>
                <w:sz w:val="20"/>
                <w:szCs w:val="20"/>
                <w:u w:val="none"/>
                <w:lang w:val="fr-FR"/>
              </w:rPr>
            </w:pPr>
            <w:r w:rsidRPr="00EE01B4">
              <w:rPr>
                <w:rFonts w:cs="Arial"/>
                <w:b/>
                <w:sz w:val="20"/>
                <w:szCs w:val="20"/>
                <w:lang w:val="fr-CH"/>
              </w:rPr>
              <w:t>Jusqu’en 2015</w:t>
            </w:r>
          </w:p>
        </w:tc>
      </w:tr>
      <w:tr w:rsidR="0005358A" w:rsidRPr="00EE01B4" w:rsidTr="004728C4">
        <w:tc>
          <w:tcPr>
            <w:tcW w:w="3067" w:type="dxa"/>
          </w:tcPr>
          <w:p w:rsidR="0005358A" w:rsidRPr="00EE01B4" w:rsidRDefault="00DF180B" w:rsidP="00B5352E">
            <w:pPr>
              <w:spacing w:after="40"/>
              <w:rPr>
                <w:sz w:val="20"/>
                <w:szCs w:val="20"/>
                <w:lang w:val="en-GB"/>
              </w:rPr>
            </w:pPr>
            <w:hyperlink r:id="rId24" w:history="1">
              <w:r w:rsidR="0005358A" w:rsidRPr="00EE01B4">
                <w:rPr>
                  <w:rStyle w:val="Hyperlink"/>
                  <w:sz w:val="20"/>
                  <w:szCs w:val="20"/>
                  <w:lang w:val="en-GB"/>
                </w:rPr>
                <w:t>Monitoring Important Bird Areas: a global framework</w:t>
              </w:r>
            </w:hyperlink>
            <w:r w:rsidR="0005358A" w:rsidRPr="00EE01B4">
              <w:rPr>
                <w:rStyle w:val="Hyperlink"/>
                <w:sz w:val="20"/>
                <w:szCs w:val="20"/>
                <w:lang w:val="en-GB"/>
              </w:rPr>
              <w:t xml:space="preserve"> </w:t>
            </w:r>
          </w:p>
        </w:tc>
        <w:tc>
          <w:tcPr>
            <w:tcW w:w="2171" w:type="dxa"/>
          </w:tcPr>
          <w:p w:rsidR="0005358A" w:rsidRPr="00EE01B4" w:rsidRDefault="0005358A" w:rsidP="00B5352E">
            <w:pPr>
              <w:rPr>
                <w:rFonts w:cs="Arial"/>
                <w:sz w:val="20"/>
                <w:szCs w:val="20"/>
                <w:lang w:val="en-GB"/>
              </w:rPr>
            </w:pPr>
          </w:p>
        </w:tc>
        <w:tc>
          <w:tcPr>
            <w:tcW w:w="2520" w:type="dxa"/>
          </w:tcPr>
          <w:p w:rsidR="0005358A" w:rsidRPr="00EE01B4" w:rsidRDefault="0005358A" w:rsidP="00B5352E">
            <w:pPr>
              <w:rPr>
                <w:rFonts w:cs="Arial"/>
                <w:sz w:val="20"/>
                <w:szCs w:val="20"/>
                <w:lang w:val="en-GB"/>
              </w:rPr>
            </w:pPr>
          </w:p>
        </w:tc>
        <w:tc>
          <w:tcPr>
            <w:tcW w:w="1260" w:type="dxa"/>
          </w:tcPr>
          <w:p w:rsidR="0005358A" w:rsidRPr="00EE01B4" w:rsidRDefault="0005358A" w:rsidP="00D45DDB">
            <w:pPr>
              <w:keepNext/>
              <w:keepLines/>
              <w:rPr>
                <w:rFonts w:cs="Arial"/>
                <w:sz w:val="20"/>
                <w:szCs w:val="20"/>
                <w:lang w:val="en-GB"/>
              </w:rPr>
            </w:pPr>
          </w:p>
        </w:tc>
        <w:tc>
          <w:tcPr>
            <w:tcW w:w="1260" w:type="dxa"/>
          </w:tcPr>
          <w:p w:rsidR="0005358A" w:rsidRPr="00EE01B4" w:rsidRDefault="0005358A" w:rsidP="00D45DDB">
            <w:pPr>
              <w:keepNext/>
              <w:keepLines/>
              <w:spacing w:after="40"/>
              <w:rPr>
                <w:sz w:val="20"/>
                <w:szCs w:val="20"/>
                <w:lang w:val="fr-FR"/>
              </w:rPr>
            </w:pPr>
            <w:r w:rsidRPr="00EE01B4">
              <w:rPr>
                <w:rStyle w:val="Hyperlink"/>
                <w:color w:val="auto"/>
                <w:sz w:val="20"/>
                <w:szCs w:val="20"/>
                <w:u w:val="none"/>
                <w:lang w:val="fr-FR"/>
              </w:rPr>
              <w:t>E</w:t>
            </w:r>
          </w:p>
        </w:tc>
        <w:tc>
          <w:tcPr>
            <w:tcW w:w="5336" w:type="dxa"/>
          </w:tcPr>
          <w:p w:rsidR="0005358A" w:rsidRPr="00EE01B4" w:rsidRDefault="0005358A" w:rsidP="00D45DDB">
            <w:pPr>
              <w:keepNext/>
              <w:keepLines/>
              <w:rPr>
                <w:rStyle w:val="Hyperlink"/>
                <w:color w:val="auto"/>
                <w:sz w:val="20"/>
                <w:szCs w:val="20"/>
                <w:u w:val="none"/>
                <w:lang w:val="fr-FR"/>
              </w:rPr>
            </w:pPr>
            <w:proofErr w:type="spellStart"/>
            <w:r w:rsidRPr="00EE01B4">
              <w:rPr>
                <w:rStyle w:val="Hyperlink"/>
                <w:color w:val="auto"/>
                <w:sz w:val="20"/>
                <w:szCs w:val="20"/>
                <w:u w:val="none"/>
                <w:lang w:val="fr-FR"/>
              </w:rPr>
              <w:t>BirdLife</w:t>
            </w:r>
            <w:proofErr w:type="spellEnd"/>
            <w:r w:rsidRPr="00EE01B4">
              <w:rPr>
                <w:rStyle w:val="Hyperlink"/>
                <w:color w:val="auto"/>
                <w:sz w:val="20"/>
                <w:szCs w:val="20"/>
                <w:u w:val="none"/>
                <w:lang w:val="fr-FR"/>
              </w:rPr>
              <w:t xml:space="preserve"> International</w:t>
            </w:r>
          </w:p>
          <w:p w:rsidR="0005358A" w:rsidRPr="00EE01B4" w:rsidRDefault="0005358A" w:rsidP="0044386B">
            <w:pPr>
              <w:keepNext/>
              <w:keepLines/>
              <w:rPr>
                <w:rFonts w:cs="Arial"/>
                <w:sz w:val="20"/>
                <w:szCs w:val="20"/>
                <w:lang w:val="fr-FR"/>
              </w:rPr>
            </w:pPr>
            <w:r w:rsidRPr="00EE01B4">
              <w:rPr>
                <w:rFonts w:cs="Arial"/>
                <w:sz w:val="20"/>
                <w:szCs w:val="20"/>
                <w:u w:val="single"/>
                <w:lang w:val="fr-FR"/>
              </w:rPr>
              <w:t>Résumé</w:t>
            </w:r>
            <w:r w:rsidRPr="00EE01B4">
              <w:rPr>
                <w:rFonts w:cs="Arial"/>
                <w:sz w:val="20"/>
                <w:szCs w:val="20"/>
                <w:lang w:val="fr-FR"/>
              </w:rPr>
              <w:t xml:space="preserve"> : Le cadre de surveillance </w:t>
            </w:r>
            <w:proofErr w:type="spellStart"/>
            <w:r w:rsidRPr="00EE01B4">
              <w:rPr>
                <w:rFonts w:cs="Arial"/>
                <w:sz w:val="20"/>
                <w:szCs w:val="20"/>
                <w:lang w:val="fr-FR"/>
              </w:rPr>
              <w:t>deszones</w:t>
            </w:r>
            <w:proofErr w:type="spellEnd"/>
            <w:r w:rsidRPr="00EE01B4">
              <w:rPr>
                <w:rFonts w:cs="Arial"/>
                <w:sz w:val="20"/>
                <w:szCs w:val="20"/>
                <w:lang w:val="fr-FR"/>
              </w:rPr>
              <w:t xml:space="preserve"> importantes pour la conservation des oiseaux (ZICO) fournit un moyen normalisé d’attribuer des notes pour les menaces exercées sur les ZICO (‘pressions’), la condition des ZICO (‘état’) et les mesures de conservation prises dans les ZICO (‘réponse’). Ces lignes directrices expliquent comment fonctionne ce système de notation et souligne, en outre, les principes de conception et de mise en œuvre d’un processus durable de suivi. </w:t>
            </w:r>
          </w:p>
        </w:tc>
      </w:tr>
      <w:tr w:rsidR="0005358A" w:rsidRPr="00EE01B4" w:rsidTr="004728C4">
        <w:tc>
          <w:tcPr>
            <w:tcW w:w="3067" w:type="dxa"/>
          </w:tcPr>
          <w:p w:rsidR="0005358A" w:rsidRPr="00EE01B4" w:rsidRDefault="00DF180B" w:rsidP="00B5352E">
            <w:pPr>
              <w:spacing w:after="40"/>
              <w:rPr>
                <w:color w:val="FF0000"/>
                <w:sz w:val="20"/>
                <w:szCs w:val="20"/>
                <w:lang w:val="en-GB"/>
              </w:rPr>
            </w:pPr>
            <w:hyperlink r:id="rId25" w:history="1">
              <w:r w:rsidR="0005358A" w:rsidRPr="00EE01B4">
                <w:rPr>
                  <w:rStyle w:val="Hyperlink"/>
                  <w:sz w:val="20"/>
                  <w:szCs w:val="20"/>
                  <w:lang w:val="en-GB"/>
                </w:rPr>
                <w:t>Wetland Resources Action Planning (WRAP) Toolkit</w:t>
              </w:r>
            </w:hyperlink>
          </w:p>
        </w:tc>
        <w:tc>
          <w:tcPr>
            <w:tcW w:w="2171" w:type="dxa"/>
          </w:tcPr>
          <w:p w:rsidR="0005358A" w:rsidRPr="00EE01B4" w:rsidRDefault="0005358A" w:rsidP="00B5352E">
            <w:pPr>
              <w:rPr>
                <w:rFonts w:cs="Arial"/>
                <w:sz w:val="20"/>
                <w:szCs w:val="20"/>
                <w:lang w:val="en-GB"/>
              </w:rPr>
            </w:pPr>
          </w:p>
        </w:tc>
        <w:tc>
          <w:tcPr>
            <w:tcW w:w="2520" w:type="dxa"/>
          </w:tcPr>
          <w:p w:rsidR="0005358A" w:rsidRPr="00EE01B4" w:rsidRDefault="0005358A" w:rsidP="00B5352E">
            <w:pPr>
              <w:rPr>
                <w:rFonts w:cs="Arial"/>
                <w:sz w:val="20"/>
                <w:szCs w:val="20"/>
                <w:lang w:val="en-GB"/>
              </w:rPr>
            </w:pPr>
          </w:p>
        </w:tc>
        <w:tc>
          <w:tcPr>
            <w:tcW w:w="1260" w:type="dxa"/>
          </w:tcPr>
          <w:p w:rsidR="0005358A" w:rsidRPr="00EE01B4" w:rsidRDefault="0005358A" w:rsidP="00B5352E">
            <w:pPr>
              <w:rPr>
                <w:rFonts w:cs="Arial"/>
                <w:sz w:val="20"/>
                <w:szCs w:val="20"/>
                <w:lang w:val="en-GB"/>
              </w:rPr>
            </w:pPr>
          </w:p>
        </w:tc>
        <w:tc>
          <w:tcPr>
            <w:tcW w:w="1260" w:type="dxa"/>
          </w:tcPr>
          <w:p w:rsidR="0005358A" w:rsidRPr="00EE01B4" w:rsidRDefault="0005358A" w:rsidP="00B5352E">
            <w:pPr>
              <w:spacing w:after="40"/>
              <w:rPr>
                <w:rStyle w:val="Hyperlink"/>
                <w:color w:val="auto"/>
                <w:sz w:val="20"/>
                <w:szCs w:val="20"/>
                <w:u w:val="none"/>
                <w:lang w:val="fr-FR"/>
              </w:rPr>
            </w:pPr>
            <w:r w:rsidRPr="00EE01B4">
              <w:rPr>
                <w:rStyle w:val="Hyperlink"/>
                <w:color w:val="auto"/>
                <w:sz w:val="20"/>
                <w:szCs w:val="20"/>
                <w:u w:val="none"/>
                <w:lang w:val="fr-FR"/>
              </w:rPr>
              <w:t>E</w:t>
            </w:r>
          </w:p>
        </w:tc>
        <w:tc>
          <w:tcPr>
            <w:tcW w:w="5336" w:type="dxa"/>
          </w:tcPr>
          <w:p w:rsidR="0005358A" w:rsidRPr="00EE01B4" w:rsidRDefault="0005358A" w:rsidP="00B5352E">
            <w:pPr>
              <w:rPr>
                <w:rStyle w:val="Hyperlink"/>
                <w:color w:val="auto"/>
                <w:sz w:val="20"/>
                <w:szCs w:val="20"/>
                <w:u w:val="none"/>
                <w:lang w:val="fr-FR"/>
              </w:rPr>
            </w:pPr>
            <w:r w:rsidRPr="00EE01B4">
              <w:rPr>
                <w:rStyle w:val="Hyperlink"/>
                <w:color w:val="auto"/>
                <w:sz w:val="20"/>
                <w:szCs w:val="20"/>
                <w:u w:val="none"/>
                <w:lang w:val="fr-FR"/>
              </w:rPr>
              <w:t>UICN</w:t>
            </w:r>
          </w:p>
        </w:tc>
      </w:tr>
      <w:tr w:rsidR="0005358A" w:rsidRPr="00EE01B4" w:rsidTr="004728C4">
        <w:tc>
          <w:tcPr>
            <w:tcW w:w="3067" w:type="dxa"/>
          </w:tcPr>
          <w:p w:rsidR="0005358A" w:rsidRPr="00EE01B4" w:rsidRDefault="00DF180B" w:rsidP="00B5352E">
            <w:pPr>
              <w:spacing w:after="40"/>
              <w:rPr>
                <w:sz w:val="20"/>
                <w:szCs w:val="20"/>
                <w:lang w:val="en-GB"/>
              </w:rPr>
            </w:pPr>
            <w:hyperlink r:id="rId26" w:history="1">
              <w:r w:rsidR="0005358A" w:rsidRPr="00EE01B4">
                <w:rPr>
                  <w:rStyle w:val="Hyperlink"/>
                  <w:sz w:val="20"/>
                  <w:szCs w:val="20"/>
                  <w:lang w:val="en-GB"/>
                </w:rPr>
                <w:t xml:space="preserve">An Integrated Wetland </w:t>
              </w:r>
              <w:r w:rsidR="0005358A" w:rsidRPr="00EE01B4">
                <w:rPr>
                  <w:rStyle w:val="Hyperlink"/>
                  <w:sz w:val="20"/>
                  <w:szCs w:val="20"/>
                  <w:lang w:val="en-GB"/>
                </w:rPr>
                <w:lastRenderedPageBreak/>
                <w:t>Assessment Toolkit: A guide to good practice</w:t>
              </w:r>
            </w:hyperlink>
            <w:r w:rsidR="0005358A" w:rsidRPr="00EE01B4">
              <w:rPr>
                <w:rStyle w:val="Hyperlink"/>
                <w:sz w:val="20"/>
                <w:szCs w:val="20"/>
                <w:lang w:val="en-GB"/>
              </w:rPr>
              <w:t xml:space="preserve"> + Case study: An integrated assessment of the biodiversity, livelihood and economic value of wetlands in </w:t>
            </w:r>
            <w:proofErr w:type="spellStart"/>
            <w:r w:rsidR="0005358A" w:rsidRPr="00EE01B4">
              <w:rPr>
                <w:rStyle w:val="Hyperlink"/>
                <w:sz w:val="20"/>
                <w:szCs w:val="20"/>
                <w:lang w:val="en-GB"/>
              </w:rPr>
              <w:t>Mtanza-Msona</w:t>
            </w:r>
            <w:proofErr w:type="spellEnd"/>
            <w:r w:rsidR="0005358A" w:rsidRPr="00EE01B4">
              <w:rPr>
                <w:rStyle w:val="Hyperlink"/>
                <w:sz w:val="20"/>
                <w:szCs w:val="20"/>
                <w:lang w:val="en-GB"/>
              </w:rPr>
              <w:t xml:space="preserve"> village, Tanzania</w:t>
            </w:r>
          </w:p>
        </w:tc>
        <w:tc>
          <w:tcPr>
            <w:tcW w:w="2171" w:type="dxa"/>
          </w:tcPr>
          <w:p w:rsidR="0005358A" w:rsidRPr="00EE01B4" w:rsidRDefault="0005358A" w:rsidP="00B5352E">
            <w:pPr>
              <w:rPr>
                <w:rFonts w:cs="Arial"/>
                <w:sz w:val="20"/>
                <w:szCs w:val="20"/>
                <w:lang w:val="en-GB"/>
              </w:rPr>
            </w:pPr>
          </w:p>
        </w:tc>
        <w:tc>
          <w:tcPr>
            <w:tcW w:w="2520" w:type="dxa"/>
          </w:tcPr>
          <w:p w:rsidR="0005358A" w:rsidRPr="00EE01B4" w:rsidRDefault="0005358A" w:rsidP="00B5352E">
            <w:pPr>
              <w:rPr>
                <w:rFonts w:cs="Arial"/>
                <w:sz w:val="20"/>
                <w:szCs w:val="20"/>
                <w:lang w:val="en-GB"/>
              </w:rPr>
            </w:pPr>
          </w:p>
        </w:tc>
        <w:tc>
          <w:tcPr>
            <w:tcW w:w="1260" w:type="dxa"/>
          </w:tcPr>
          <w:p w:rsidR="0005358A" w:rsidRPr="00EE01B4" w:rsidRDefault="0005358A" w:rsidP="00B5352E">
            <w:pPr>
              <w:rPr>
                <w:rFonts w:cs="Arial"/>
                <w:sz w:val="20"/>
                <w:szCs w:val="20"/>
                <w:lang w:val="en-GB"/>
              </w:rPr>
            </w:pPr>
          </w:p>
        </w:tc>
        <w:tc>
          <w:tcPr>
            <w:tcW w:w="1260" w:type="dxa"/>
          </w:tcPr>
          <w:p w:rsidR="0005358A" w:rsidRPr="00EE01B4" w:rsidRDefault="0005358A" w:rsidP="00B5352E">
            <w:pPr>
              <w:spacing w:after="40"/>
              <w:rPr>
                <w:sz w:val="20"/>
                <w:szCs w:val="20"/>
                <w:lang w:val="fr-FR"/>
              </w:rPr>
            </w:pPr>
            <w:r w:rsidRPr="00EE01B4">
              <w:rPr>
                <w:rStyle w:val="Hyperlink"/>
                <w:color w:val="auto"/>
                <w:sz w:val="20"/>
                <w:szCs w:val="20"/>
                <w:u w:val="none"/>
                <w:lang w:val="fr-FR"/>
              </w:rPr>
              <w:t>E</w:t>
            </w:r>
          </w:p>
        </w:tc>
        <w:tc>
          <w:tcPr>
            <w:tcW w:w="5336" w:type="dxa"/>
          </w:tcPr>
          <w:p w:rsidR="0005358A" w:rsidRPr="00EE01B4" w:rsidRDefault="0005358A" w:rsidP="00B5352E">
            <w:pPr>
              <w:rPr>
                <w:rStyle w:val="Hyperlink"/>
                <w:color w:val="auto"/>
                <w:sz w:val="20"/>
                <w:szCs w:val="20"/>
                <w:u w:val="none"/>
                <w:lang w:val="fr-FR"/>
              </w:rPr>
            </w:pPr>
            <w:r w:rsidRPr="00EE01B4">
              <w:rPr>
                <w:rStyle w:val="Hyperlink"/>
                <w:color w:val="auto"/>
                <w:sz w:val="20"/>
                <w:szCs w:val="20"/>
                <w:u w:val="none"/>
                <w:lang w:val="fr-FR"/>
              </w:rPr>
              <w:t>UICN</w:t>
            </w:r>
          </w:p>
          <w:p w:rsidR="0005358A" w:rsidRPr="00EE01B4" w:rsidRDefault="0005358A" w:rsidP="0073584B">
            <w:pPr>
              <w:spacing w:after="40"/>
              <w:rPr>
                <w:sz w:val="20"/>
                <w:szCs w:val="20"/>
                <w:lang w:val="fr-FR"/>
              </w:rPr>
            </w:pPr>
            <w:r w:rsidRPr="00EE01B4">
              <w:rPr>
                <w:rFonts w:cs="Arial"/>
                <w:sz w:val="20"/>
                <w:szCs w:val="20"/>
                <w:u w:val="single"/>
                <w:lang w:val="fr-FR"/>
              </w:rPr>
              <w:lastRenderedPageBreak/>
              <w:t>Résumé</w:t>
            </w:r>
            <w:r w:rsidRPr="00EE01B4">
              <w:rPr>
                <w:rFonts w:cs="Arial"/>
                <w:sz w:val="20"/>
                <w:szCs w:val="20"/>
                <w:lang w:val="fr-FR"/>
              </w:rPr>
              <w:t xml:space="preserve"> : Cet outil explique un processus d’évaluation intégrée et fournit un ensemble de méthodes pouvant être utilisées pour étudier les liens entre la biodiversité, l’économie et les moyens d’existence dans les zones humides, ainsi que pour identifier et traiter les conflits d’intérêt potentiels entre les objectifs de conservation et de développement. L’approche intégrée décrite permet aussi aux praticiens d’évaluer une zone humide du point de vue de la somme de ses valeurs pour la biodiversité, l’économie et les moyens d’existence. Elle met particulièrement l’accent sur le renforcement des approches favorables plus démunis en matière de gestion des zones humides. » </w:t>
            </w:r>
          </w:p>
        </w:tc>
      </w:tr>
      <w:tr w:rsidR="0005358A" w:rsidRPr="00EE01B4" w:rsidTr="004728C4">
        <w:tc>
          <w:tcPr>
            <w:tcW w:w="3067" w:type="dxa"/>
          </w:tcPr>
          <w:p w:rsidR="0005358A" w:rsidRPr="00EE01B4" w:rsidRDefault="00DF180B" w:rsidP="00B5352E">
            <w:pPr>
              <w:spacing w:after="40"/>
              <w:rPr>
                <w:color w:val="0000FF" w:themeColor="hyperlink"/>
                <w:sz w:val="20"/>
                <w:szCs w:val="20"/>
                <w:u w:val="single"/>
                <w:lang w:val="en-GB"/>
              </w:rPr>
            </w:pPr>
            <w:hyperlink r:id="rId27" w:history="1">
              <w:r w:rsidR="0005358A" w:rsidRPr="00EE01B4">
                <w:rPr>
                  <w:rStyle w:val="Hyperlink"/>
                  <w:sz w:val="20"/>
                  <w:szCs w:val="20"/>
                  <w:lang w:val="en-GB"/>
                </w:rPr>
                <w:t>Monitoring and Evaluation Guidelines for Community Based Wetland Resource Management</w:t>
              </w:r>
            </w:hyperlink>
            <w:r w:rsidR="0005358A" w:rsidRPr="00EE01B4">
              <w:rPr>
                <w:rStyle w:val="Hyperlink"/>
                <w:sz w:val="20"/>
                <w:szCs w:val="20"/>
                <w:lang w:val="en-GB"/>
              </w:rPr>
              <w:t xml:space="preserve"> </w:t>
            </w:r>
          </w:p>
        </w:tc>
        <w:tc>
          <w:tcPr>
            <w:tcW w:w="2171" w:type="dxa"/>
          </w:tcPr>
          <w:p w:rsidR="0005358A" w:rsidRPr="00EE01B4" w:rsidRDefault="0005358A" w:rsidP="00B5352E">
            <w:pPr>
              <w:rPr>
                <w:rFonts w:cs="Arial"/>
                <w:sz w:val="20"/>
                <w:szCs w:val="20"/>
                <w:lang w:val="en-GB"/>
              </w:rPr>
            </w:pPr>
          </w:p>
        </w:tc>
        <w:tc>
          <w:tcPr>
            <w:tcW w:w="2520" w:type="dxa"/>
          </w:tcPr>
          <w:p w:rsidR="0005358A" w:rsidRPr="00EE01B4" w:rsidRDefault="0005358A" w:rsidP="00B5352E">
            <w:pPr>
              <w:rPr>
                <w:rFonts w:cs="Arial"/>
                <w:sz w:val="20"/>
                <w:szCs w:val="20"/>
                <w:lang w:val="en-GB"/>
              </w:rPr>
            </w:pPr>
          </w:p>
        </w:tc>
        <w:tc>
          <w:tcPr>
            <w:tcW w:w="1260" w:type="dxa"/>
          </w:tcPr>
          <w:p w:rsidR="0005358A" w:rsidRPr="00EE01B4" w:rsidRDefault="0005358A" w:rsidP="00B5352E">
            <w:pPr>
              <w:rPr>
                <w:rFonts w:cs="Arial"/>
                <w:sz w:val="20"/>
                <w:szCs w:val="20"/>
                <w:lang w:val="en-GB"/>
              </w:rPr>
            </w:pPr>
          </w:p>
        </w:tc>
        <w:tc>
          <w:tcPr>
            <w:tcW w:w="1260" w:type="dxa"/>
          </w:tcPr>
          <w:p w:rsidR="0005358A" w:rsidRPr="00EE01B4" w:rsidRDefault="0005358A" w:rsidP="00B5352E">
            <w:pPr>
              <w:spacing w:after="40"/>
              <w:rPr>
                <w:sz w:val="20"/>
                <w:szCs w:val="20"/>
                <w:lang w:val="fr-FR"/>
              </w:rPr>
            </w:pPr>
            <w:r w:rsidRPr="00EE01B4">
              <w:rPr>
                <w:rStyle w:val="Hyperlink"/>
                <w:color w:val="auto"/>
                <w:sz w:val="20"/>
                <w:szCs w:val="20"/>
                <w:u w:val="none"/>
                <w:lang w:val="fr-FR"/>
              </w:rPr>
              <w:t>E</w:t>
            </w:r>
          </w:p>
        </w:tc>
        <w:tc>
          <w:tcPr>
            <w:tcW w:w="5336" w:type="dxa"/>
          </w:tcPr>
          <w:p w:rsidR="0005358A" w:rsidRPr="00EE01B4" w:rsidRDefault="0005358A" w:rsidP="00B5352E">
            <w:pPr>
              <w:rPr>
                <w:rStyle w:val="Hyperlink"/>
                <w:color w:val="auto"/>
                <w:sz w:val="20"/>
                <w:szCs w:val="20"/>
                <w:u w:val="none"/>
                <w:lang w:val="fr-FR"/>
              </w:rPr>
            </w:pPr>
            <w:r w:rsidRPr="00EE01B4">
              <w:rPr>
                <w:rStyle w:val="Hyperlink"/>
                <w:color w:val="auto"/>
                <w:sz w:val="20"/>
                <w:szCs w:val="20"/>
                <w:u w:val="none"/>
                <w:lang w:val="fr-FR"/>
              </w:rPr>
              <w:t xml:space="preserve">UICN </w:t>
            </w:r>
          </w:p>
          <w:p w:rsidR="0005358A" w:rsidRPr="00EE01B4" w:rsidRDefault="0005358A" w:rsidP="0073584B">
            <w:pPr>
              <w:rPr>
                <w:rFonts w:cs="Arial"/>
                <w:sz w:val="20"/>
                <w:szCs w:val="20"/>
                <w:lang w:val="fr-FR"/>
              </w:rPr>
            </w:pPr>
            <w:r w:rsidRPr="00EE01B4">
              <w:rPr>
                <w:rFonts w:cs="Arial"/>
                <w:sz w:val="20"/>
                <w:szCs w:val="20"/>
                <w:u w:val="single"/>
                <w:lang w:val="fr-FR"/>
              </w:rPr>
              <w:t>Résumé</w:t>
            </w:r>
            <w:r w:rsidRPr="00EE01B4">
              <w:rPr>
                <w:rFonts w:cs="Arial"/>
                <w:sz w:val="20"/>
                <w:szCs w:val="20"/>
                <w:lang w:val="fr-FR"/>
              </w:rPr>
              <w:t> : Le système S&amp;E [Suivi et Évaluation] décrit ici fonctionne depuis le début des interventions [au Bangladesh] de SEMP [Programme durable de gestion de l’environnement]… Ce guide peut être utile à des administrateurs appliquant d’autres éléments de SEMP et des projets semblables de mise en valeur et de gestion des ressources naturelles afin de maximiser l’utilisation des ressources et de parvenir à la durabilité en conduisant régulièrement des S&amp;E. </w:t>
            </w:r>
          </w:p>
        </w:tc>
      </w:tr>
      <w:tr w:rsidR="0005358A" w:rsidRPr="00EE01B4" w:rsidTr="004728C4">
        <w:tc>
          <w:tcPr>
            <w:tcW w:w="3067" w:type="dxa"/>
          </w:tcPr>
          <w:p w:rsidR="0005358A" w:rsidRPr="00EE01B4" w:rsidRDefault="00DF180B" w:rsidP="00B5352E">
            <w:pPr>
              <w:spacing w:after="40"/>
              <w:rPr>
                <w:sz w:val="20"/>
                <w:szCs w:val="20"/>
                <w:lang w:val="es-ES"/>
              </w:rPr>
            </w:pPr>
            <w:hyperlink r:id="rId28" w:history="1">
              <w:r w:rsidR="0005358A" w:rsidRPr="00EE01B4">
                <w:rPr>
                  <w:rStyle w:val="Hyperlink"/>
                  <w:sz w:val="20"/>
                  <w:szCs w:val="20"/>
                  <w:lang w:val="es-ES"/>
                </w:rPr>
                <w:t>Diagnóstico de medios de vida y capitales de la comunidad de Humedales de Medio Queso, Los Chiles, Costa Rica</w:t>
              </w:r>
            </w:hyperlink>
            <w:r w:rsidR="0005358A" w:rsidRPr="00EE01B4">
              <w:rPr>
                <w:sz w:val="20"/>
                <w:szCs w:val="20"/>
                <w:lang w:val="es-ES"/>
              </w:rPr>
              <w:t xml:space="preserve"> </w:t>
            </w:r>
          </w:p>
        </w:tc>
        <w:tc>
          <w:tcPr>
            <w:tcW w:w="2171" w:type="dxa"/>
          </w:tcPr>
          <w:p w:rsidR="0005358A" w:rsidRPr="00EE01B4" w:rsidRDefault="0005358A" w:rsidP="00B5352E">
            <w:pPr>
              <w:rPr>
                <w:rFonts w:cs="Arial"/>
                <w:sz w:val="20"/>
                <w:szCs w:val="20"/>
                <w:lang w:val="es-ES"/>
              </w:rPr>
            </w:pPr>
          </w:p>
        </w:tc>
        <w:tc>
          <w:tcPr>
            <w:tcW w:w="2520" w:type="dxa"/>
          </w:tcPr>
          <w:p w:rsidR="0005358A" w:rsidRPr="00EE01B4" w:rsidRDefault="0005358A" w:rsidP="00B5352E">
            <w:pPr>
              <w:rPr>
                <w:rFonts w:cs="Arial"/>
                <w:sz w:val="20"/>
                <w:szCs w:val="20"/>
                <w:lang w:val="es-ES"/>
              </w:rPr>
            </w:pPr>
          </w:p>
        </w:tc>
        <w:tc>
          <w:tcPr>
            <w:tcW w:w="1260" w:type="dxa"/>
          </w:tcPr>
          <w:p w:rsidR="0005358A" w:rsidRPr="00EE01B4" w:rsidRDefault="0005358A" w:rsidP="00B5352E">
            <w:pPr>
              <w:rPr>
                <w:rFonts w:cs="Arial"/>
                <w:sz w:val="20"/>
                <w:szCs w:val="20"/>
                <w:lang w:val="es-ES"/>
              </w:rPr>
            </w:pPr>
          </w:p>
        </w:tc>
        <w:tc>
          <w:tcPr>
            <w:tcW w:w="1260" w:type="dxa"/>
          </w:tcPr>
          <w:p w:rsidR="0005358A" w:rsidRPr="00EE01B4" w:rsidRDefault="0005358A" w:rsidP="00B5352E">
            <w:pPr>
              <w:spacing w:after="40"/>
              <w:rPr>
                <w:sz w:val="20"/>
                <w:szCs w:val="20"/>
                <w:lang w:val="fr-FR"/>
              </w:rPr>
            </w:pPr>
            <w:r w:rsidRPr="00EE01B4">
              <w:rPr>
                <w:sz w:val="20"/>
                <w:szCs w:val="20"/>
                <w:lang w:val="fr-FR"/>
              </w:rPr>
              <w:t>S</w:t>
            </w:r>
          </w:p>
        </w:tc>
        <w:tc>
          <w:tcPr>
            <w:tcW w:w="5336" w:type="dxa"/>
          </w:tcPr>
          <w:p w:rsidR="0005358A" w:rsidRPr="00EE01B4" w:rsidRDefault="0005358A" w:rsidP="00B5352E">
            <w:pPr>
              <w:rPr>
                <w:rStyle w:val="Hyperlink"/>
                <w:color w:val="auto"/>
                <w:sz w:val="20"/>
                <w:szCs w:val="20"/>
                <w:u w:val="none"/>
                <w:lang w:val="fr-FR"/>
              </w:rPr>
            </w:pPr>
            <w:r w:rsidRPr="00EE01B4">
              <w:rPr>
                <w:rStyle w:val="Hyperlink"/>
                <w:color w:val="auto"/>
                <w:sz w:val="20"/>
                <w:szCs w:val="20"/>
                <w:u w:val="none"/>
                <w:lang w:val="fr-FR"/>
              </w:rPr>
              <w:t>UICN</w:t>
            </w:r>
          </w:p>
        </w:tc>
      </w:tr>
      <w:tr w:rsidR="0005358A" w:rsidRPr="00EE01B4" w:rsidTr="004728C4">
        <w:tc>
          <w:tcPr>
            <w:tcW w:w="3067" w:type="dxa"/>
          </w:tcPr>
          <w:p w:rsidR="0005358A" w:rsidRPr="00EE01B4" w:rsidRDefault="00DF180B" w:rsidP="00B5352E">
            <w:pPr>
              <w:spacing w:after="40"/>
              <w:rPr>
                <w:sz w:val="20"/>
                <w:szCs w:val="20"/>
                <w:lang w:val="en-GB"/>
              </w:rPr>
            </w:pPr>
            <w:hyperlink r:id="rId29" w:history="1">
              <w:r w:rsidR="0005358A" w:rsidRPr="00EE01B4">
                <w:rPr>
                  <w:rStyle w:val="Hyperlink"/>
                  <w:sz w:val="20"/>
                  <w:szCs w:val="20"/>
                  <w:lang w:val="en-GB"/>
                </w:rPr>
                <w:t>Biodiversity and ecosystem management in the Iraqi marshlands: screening study on potential World Heritage nomination</w:t>
              </w:r>
            </w:hyperlink>
          </w:p>
        </w:tc>
        <w:tc>
          <w:tcPr>
            <w:tcW w:w="2171" w:type="dxa"/>
          </w:tcPr>
          <w:p w:rsidR="0005358A" w:rsidRPr="00EE01B4" w:rsidRDefault="0005358A" w:rsidP="00B5352E">
            <w:pPr>
              <w:rPr>
                <w:rFonts w:cs="Arial"/>
                <w:sz w:val="20"/>
                <w:szCs w:val="20"/>
                <w:lang w:val="en-GB"/>
              </w:rPr>
            </w:pPr>
          </w:p>
        </w:tc>
        <w:tc>
          <w:tcPr>
            <w:tcW w:w="2520" w:type="dxa"/>
          </w:tcPr>
          <w:p w:rsidR="0005358A" w:rsidRPr="00EE01B4" w:rsidRDefault="0005358A" w:rsidP="00B5352E">
            <w:pPr>
              <w:rPr>
                <w:rFonts w:cs="Arial"/>
                <w:sz w:val="20"/>
                <w:szCs w:val="20"/>
                <w:lang w:val="en-GB"/>
              </w:rPr>
            </w:pPr>
          </w:p>
        </w:tc>
        <w:tc>
          <w:tcPr>
            <w:tcW w:w="1260" w:type="dxa"/>
          </w:tcPr>
          <w:p w:rsidR="0005358A" w:rsidRPr="00EE01B4" w:rsidRDefault="0005358A" w:rsidP="00B5352E">
            <w:pPr>
              <w:rPr>
                <w:rFonts w:cs="Arial"/>
                <w:sz w:val="20"/>
                <w:szCs w:val="20"/>
                <w:lang w:val="en-GB"/>
              </w:rPr>
            </w:pPr>
          </w:p>
        </w:tc>
        <w:tc>
          <w:tcPr>
            <w:tcW w:w="1260" w:type="dxa"/>
          </w:tcPr>
          <w:p w:rsidR="0005358A" w:rsidRPr="00EE01B4" w:rsidRDefault="0005358A" w:rsidP="00B5352E">
            <w:pPr>
              <w:spacing w:after="40"/>
              <w:rPr>
                <w:sz w:val="20"/>
                <w:szCs w:val="20"/>
                <w:lang w:val="fr-FR"/>
              </w:rPr>
            </w:pPr>
            <w:r w:rsidRPr="00EE01B4">
              <w:rPr>
                <w:sz w:val="20"/>
                <w:szCs w:val="20"/>
                <w:lang w:val="fr-FR"/>
              </w:rPr>
              <w:t>EA</w:t>
            </w:r>
          </w:p>
        </w:tc>
        <w:tc>
          <w:tcPr>
            <w:tcW w:w="5336" w:type="dxa"/>
          </w:tcPr>
          <w:p w:rsidR="0005358A" w:rsidRPr="00EE01B4" w:rsidRDefault="0005358A" w:rsidP="00B5352E">
            <w:pPr>
              <w:rPr>
                <w:rStyle w:val="Hyperlink"/>
                <w:color w:val="auto"/>
                <w:sz w:val="20"/>
                <w:szCs w:val="20"/>
                <w:u w:val="none"/>
                <w:lang w:val="fr-FR"/>
              </w:rPr>
            </w:pPr>
            <w:r w:rsidRPr="00EE01B4">
              <w:rPr>
                <w:rStyle w:val="Hyperlink"/>
                <w:color w:val="auto"/>
                <w:sz w:val="20"/>
                <w:szCs w:val="20"/>
                <w:u w:val="none"/>
                <w:lang w:val="fr-FR"/>
              </w:rPr>
              <w:t>UICN</w:t>
            </w:r>
          </w:p>
        </w:tc>
      </w:tr>
      <w:tr w:rsidR="0005358A" w:rsidRPr="00EE01B4" w:rsidTr="004728C4">
        <w:tc>
          <w:tcPr>
            <w:tcW w:w="3067" w:type="dxa"/>
          </w:tcPr>
          <w:p w:rsidR="0005358A" w:rsidRPr="00EE01B4" w:rsidRDefault="00DF180B" w:rsidP="00B5352E">
            <w:pPr>
              <w:spacing w:after="40"/>
              <w:rPr>
                <w:color w:val="0000FF" w:themeColor="hyperlink"/>
                <w:sz w:val="20"/>
                <w:szCs w:val="20"/>
                <w:u w:val="single"/>
                <w:lang w:val="en-GB"/>
              </w:rPr>
            </w:pPr>
            <w:hyperlink r:id="rId30" w:history="1">
              <w:r w:rsidR="0005358A" w:rsidRPr="00EE01B4">
                <w:rPr>
                  <w:rStyle w:val="Hyperlink"/>
                  <w:sz w:val="20"/>
                  <w:szCs w:val="20"/>
                  <w:lang w:val="en-GB"/>
                </w:rPr>
                <w:t>Global Lakes and Wetlands Database</w:t>
              </w:r>
            </w:hyperlink>
            <w:r w:rsidR="0005358A" w:rsidRPr="00EE01B4">
              <w:rPr>
                <w:rStyle w:val="Hyperlink"/>
                <w:sz w:val="20"/>
                <w:szCs w:val="20"/>
                <w:lang w:val="en-GB"/>
              </w:rPr>
              <w:t xml:space="preserve"> </w:t>
            </w:r>
          </w:p>
        </w:tc>
        <w:tc>
          <w:tcPr>
            <w:tcW w:w="2171" w:type="dxa"/>
          </w:tcPr>
          <w:p w:rsidR="0005358A" w:rsidRPr="00EE01B4" w:rsidRDefault="0005358A" w:rsidP="00B5352E">
            <w:pPr>
              <w:rPr>
                <w:rFonts w:cs="Arial"/>
                <w:sz w:val="20"/>
                <w:szCs w:val="20"/>
                <w:lang w:val="en-GB"/>
              </w:rPr>
            </w:pPr>
          </w:p>
        </w:tc>
        <w:tc>
          <w:tcPr>
            <w:tcW w:w="2520" w:type="dxa"/>
          </w:tcPr>
          <w:p w:rsidR="0005358A" w:rsidRPr="00EE01B4" w:rsidRDefault="0005358A" w:rsidP="00B5352E">
            <w:pPr>
              <w:rPr>
                <w:rFonts w:cs="Arial"/>
                <w:sz w:val="20"/>
                <w:szCs w:val="20"/>
                <w:lang w:val="en-GB"/>
              </w:rPr>
            </w:pPr>
          </w:p>
        </w:tc>
        <w:tc>
          <w:tcPr>
            <w:tcW w:w="1260" w:type="dxa"/>
          </w:tcPr>
          <w:p w:rsidR="0005358A" w:rsidRPr="00EE01B4" w:rsidRDefault="0005358A" w:rsidP="00B5352E">
            <w:pPr>
              <w:rPr>
                <w:rFonts w:cs="Arial"/>
                <w:sz w:val="20"/>
                <w:szCs w:val="20"/>
                <w:lang w:val="en-GB"/>
              </w:rPr>
            </w:pPr>
          </w:p>
        </w:tc>
        <w:tc>
          <w:tcPr>
            <w:tcW w:w="1260" w:type="dxa"/>
          </w:tcPr>
          <w:p w:rsidR="0005358A" w:rsidRPr="00EE01B4" w:rsidRDefault="0005358A" w:rsidP="00B5352E">
            <w:pPr>
              <w:spacing w:after="40"/>
              <w:rPr>
                <w:sz w:val="20"/>
                <w:szCs w:val="20"/>
                <w:lang w:val="en-GB"/>
              </w:rPr>
            </w:pPr>
          </w:p>
        </w:tc>
        <w:tc>
          <w:tcPr>
            <w:tcW w:w="5336" w:type="dxa"/>
          </w:tcPr>
          <w:p w:rsidR="0005358A" w:rsidRPr="00EE01B4" w:rsidRDefault="0005358A" w:rsidP="00B5352E">
            <w:pPr>
              <w:rPr>
                <w:rStyle w:val="Hyperlink"/>
                <w:color w:val="auto"/>
                <w:sz w:val="20"/>
                <w:szCs w:val="20"/>
                <w:u w:val="none"/>
                <w:lang w:val="fr-FR"/>
              </w:rPr>
            </w:pPr>
            <w:r w:rsidRPr="00EE01B4">
              <w:rPr>
                <w:rStyle w:val="Hyperlink"/>
                <w:color w:val="auto"/>
                <w:sz w:val="20"/>
                <w:szCs w:val="20"/>
                <w:u w:val="none"/>
                <w:lang w:val="fr-FR"/>
              </w:rPr>
              <w:t>WWF</w:t>
            </w:r>
          </w:p>
          <w:p w:rsidR="0005358A" w:rsidRPr="00EE01B4" w:rsidRDefault="0005358A" w:rsidP="0073584B">
            <w:pPr>
              <w:rPr>
                <w:rFonts w:cs="Arial"/>
                <w:sz w:val="20"/>
                <w:szCs w:val="20"/>
                <w:lang w:val="fr-FR"/>
              </w:rPr>
            </w:pPr>
            <w:r w:rsidRPr="00EE01B4">
              <w:rPr>
                <w:rFonts w:cs="Arial"/>
                <w:sz w:val="20"/>
                <w:szCs w:val="20"/>
                <w:u w:val="single"/>
                <w:lang w:val="fr-FR"/>
              </w:rPr>
              <w:t>Résumé</w:t>
            </w:r>
            <w:r w:rsidRPr="00EE01B4">
              <w:rPr>
                <w:rFonts w:cs="Arial"/>
                <w:sz w:val="20"/>
                <w:szCs w:val="20"/>
                <w:lang w:val="fr-FR"/>
              </w:rPr>
              <w:t xml:space="preserve"> : S’appuyant sur une diversité de données et d’informations et de cartes existantes, le WWF et le Center for </w:t>
            </w:r>
            <w:proofErr w:type="spellStart"/>
            <w:r w:rsidRPr="00EE01B4">
              <w:rPr>
                <w:rFonts w:cs="Arial"/>
                <w:sz w:val="20"/>
                <w:szCs w:val="20"/>
                <w:lang w:val="fr-FR"/>
              </w:rPr>
              <w:t>Environmental</w:t>
            </w:r>
            <w:proofErr w:type="spellEnd"/>
            <w:r w:rsidRPr="00EE01B4">
              <w:rPr>
                <w:rFonts w:cs="Arial"/>
                <w:sz w:val="20"/>
                <w:szCs w:val="20"/>
                <w:lang w:val="fr-FR"/>
              </w:rPr>
              <w:t xml:space="preserve"> </w:t>
            </w:r>
            <w:proofErr w:type="spellStart"/>
            <w:r w:rsidRPr="00EE01B4">
              <w:rPr>
                <w:rFonts w:cs="Arial"/>
                <w:sz w:val="20"/>
                <w:szCs w:val="20"/>
                <w:lang w:val="fr-FR"/>
              </w:rPr>
              <w:t>Systems</w:t>
            </w:r>
            <w:proofErr w:type="spellEnd"/>
            <w:r w:rsidRPr="00EE01B4">
              <w:rPr>
                <w:rFonts w:cs="Arial"/>
                <w:sz w:val="20"/>
                <w:szCs w:val="20"/>
                <w:lang w:val="fr-FR"/>
              </w:rPr>
              <w:t xml:space="preserve"> </w:t>
            </w:r>
            <w:proofErr w:type="spellStart"/>
            <w:r w:rsidRPr="00EE01B4">
              <w:rPr>
                <w:rFonts w:cs="Arial"/>
                <w:sz w:val="20"/>
                <w:szCs w:val="20"/>
                <w:lang w:val="fr-FR"/>
              </w:rPr>
              <w:t>Research</w:t>
            </w:r>
            <w:proofErr w:type="spellEnd"/>
            <w:r w:rsidRPr="00EE01B4">
              <w:rPr>
                <w:rFonts w:cs="Arial"/>
                <w:sz w:val="20"/>
                <w:szCs w:val="20"/>
                <w:lang w:val="fr-FR"/>
              </w:rPr>
              <w:t xml:space="preserve">, Université de Kassel, Allemagne, ont créé la base de données Global </w:t>
            </w:r>
            <w:proofErr w:type="spellStart"/>
            <w:r w:rsidRPr="00EE01B4">
              <w:rPr>
                <w:rFonts w:cs="Arial"/>
                <w:sz w:val="20"/>
                <w:szCs w:val="20"/>
                <w:lang w:val="fr-FR"/>
              </w:rPr>
              <w:t>Lakes</w:t>
            </w:r>
            <w:proofErr w:type="spellEnd"/>
            <w:r w:rsidRPr="00EE01B4">
              <w:rPr>
                <w:rFonts w:cs="Arial"/>
                <w:sz w:val="20"/>
                <w:szCs w:val="20"/>
                <w:lang w:val="fr-FR"/>
              </w:rPr>
              <w:t xml:space="preserve"> and </w:t>
            </w:r>
            <w:proofErr w:type="spellStart"/>
            <w:r w:rsidRPr="00EE01B4">
              <w:rPr>
                <w:rFonts w:cs="Arial"/>
                <w:sz w:val="20"/>
                <w:szCs w:val="20"/>
                <w:lang w:val="fr-FR"/>
              </w:rPr>
              <w:t>Wetlands</w:t>
            </w:r>
            <w:proofErr w:type="spellEnd"/>
            <w:r w:rsidRPr="00EE01B4">
              <w:rPr>
                <w:rFonts w:cs="Arial"/>
                <w:sz w:val="20"/>
                <w:szCs w:val="20"/>
                <w:lang w:val="fr-FR"/>
              </w:rPr>
              <w:t xml:space="preserve"> </w:t>
            </w:r>
            <w:proofErr w:type="spellStart"/>
            <w:r w:rsidRPr="00EE01B4">
              <w:rPr>
                <w:rFonts w:cs="Arial"/>
                <w:sz w:val="20"/>
                <w:szCs w:val="20"/>
                <w:lang w:val="fr-FR"/>
              </w:rPr>
              <w:t>Database</w:t>
            </w:r>
            <w:proofErr w:type="spellEnd"/>
            <w:r w:rsidRPr="00EE01B4">
              <w:rPr>
                <w:rFonts w:cs="Arial"/>
                <w:sz w:val="20"/>
                <w:szCs w:val="20"/>
                <w:lang w:val="fr-FR"/>
              </w:rPr>
              <w:t xml:space="preserve"> (GLWD). L’association des meilleures sources disponibles pour les lacs et les zones humides à </w:t>
            </w:r>
            <w:r w:rsidRPr="00EE01B4">
              <w:rPr>
                <w:rFonts w:cs="Arial"/>
                <w:sz w:val="20"/>
                <w:szCs w:val="20"/>
                <w:lang w:val="fr-FR"/>
              </w:rPr>
              <w:lastRenderedPageBreak/>
              <w:t xml:space="preserve">échelle mondiale (résolution : 1:1 à 1:3 </w:t>
            </w:r>
            <w:proofErr w:type="spellStart"/>
            <w:r w:rsidRPr="00EE01B4">
              <w:rPr>
                <w:rFonts w:cs="Arial"/>
                <w:sz w:val="20"/>
                <w:szCs w:val="20"/>
                <w:lang w:val="fr-FR"/>
              </w:rPr>
              <w:t>millionnième</w:t>
            </w:r>
            <w:proofErr w:type="spellEnd"/>
            <w:r w:rsidRPr="00EE01B4">
              <w:rPr>
                <w:rFonts w:cs="Arial"/>
                <w:sz w:val="20"/>
                <w:szCs w:val="20"/>
                <w:lang w:val="fr-FR"/>
              </w:rPr>
              <w:t xml:space="preserve">) et l’application de fonctionnalité SIG permettent la génération d’une base de données concentrée à trois niveaux coordonnés sur 1) les grands lacs et les réservoirs, 2) les petites masses d’eau et 3) les zones humides.  </w:t>
            </w:r>
          </w:p>
        </w:tc>
      </w:tr>
      <w:tr w:rsidR="0005358A" w:rsidRPr="00EE01B4" w:rsidTr="004728C4">
        <w:tc>
          <w:tcPr>
            <w:tcW w:w="3067" w:type="dxa"/>
          </w:tcPr>
          <w:p w:rsidR="0005358A" w:rsidRPr="00EE01B4" w:rsidRDefault="00DF180B" w:rsidP="00B5352E">
            <w:pPr>
              <w:spacing w:after="40"/>
              <w:rPr>
                <w:color w:val="0000FF" w:themeColor="hyperlink"/>
                <w:sz w:val="20"/>
                <w:szCs w:val="20"/>
                <w:u w:val="single"/>
                <w:lang w:val="en-GB"/>
              </w:rPr>
            </w:pPr>
            <w:hyperlink r:id="rId31" w:history="1">
              <w:r w:rsidR="0005358A" w:rsidRPr="00EE01B4">
                <w:rPr>
                  <w:rStyle w:val="Hyperlink"/>
                  <w:sz w:val="20"/>
                  <w:szCs w:val="20"/>
                  <w:lang w:val="en-GB"/>
                </w:rPr>
                <w:t>Biodiversity and Ecosystem Services Trends and Conditions Assessment Tool</w:t>
              </w:r>
            </w:hyperlink>
          </w:p>
        </w:tc>
        <w:tc>
          <w:tcPr>
            <w:tcW w:w="2171" w:type="dxa"/>
          </w:tcPr>
          <w:p w:rsidR="0005358A" w:rsidRPr="00EE01B4" w:rsidRDefault="0005358A" w:rsidP="00B5352E">
            <w:pPr>
              <w:rPr>
                <w:rFonts w:cs="Arial"/>
                <w:sz w:val="20"/>
                <w:szCs w:val="20"/>
                <w:lang w:val="en-GB"/>
              </w:rPr>
            </w:pPr>
          </w:p>
        </w:tc>
        <w:tc>
          <w:tcPr>
            <w:tcW w:w="2520" w:type="dxa"/>
          </w:tcPr>
          <w:p w:rsidR="0005358A" w:rsidRPr="00EE01B4" w:rsidRDefault="0005358A" w:rsidP="00B5352E">
            <w:pPr>
              <w:rPr>
                <w:rFonts w:cs="Arial"/>
                <w:sz w:val="20"/>
                <w:szCs w:val="20"/>
                <w:lang w:val="en-GB"/>
              </w:rPr>
            </w:pPr>
          </w:p>
        </w:tc>
        <w:tc>
          <w:tcPr>
            <w:tcW w:w="1260" w:type="dxa"/>
          </w:tcPr>
          <w:p w:rsidR="0005358A" w:rsidRPr="00EE01B4" w:rsidRDefault="0005358A" w:rsidP="00B5352E">
            <w:pPr>
              <w:rPr>
                <w:rFonts w:cs="Arial"/>
                <w:sz w:val="20"/>
                <w:szCs w:val="20"/>
                <w:lang w:val="en-GB"/>
              </w:rPr>
            </w:pPr>
          </w:p>
        </w:tc>
        <w:tc>
          <w:tcPr>
            <w:tcW w:w="1260" w:type="dxa"/>
          </w:tcPr>
          <w:p w:rsidR="0005358A" w:rsidRPr="00EE01B4" w:rsidRDefault="0005358A" w:rsidP="00B5352E">
            <w:pPr>
              <w:spacing w:after="40"/>
              <w:rPr>
                <w:sz w:val="20"/>
                <w:szCs w:val="20"/>
                <w:lang w:val="fr-FR"/>
              </w:rPr>
            </w:pPr>
            <w:r w:rsidRPr="00EE01B4">
              <w:rPr>
                <w:rStyle w:val="Hyperlink"/>
                <w:color w:val="auto"/>
                <w:sz w:val="20"/>
                <w:szCs w:val="20"/>
                <w:u w:val="none"/>
                <w:lang w:val="fr-FR"/>
              </w:rPr>
              <w:t>EFS</w:t>
            </w:r>
          </w:p>
        </w:tc>
        <w:tc>
          <w:tcPr>
            <w:tcW w:w="5336" w:type="dxa"/>
          </w:tcPr>
          <w:p w:rsidR="0005358A" w:rsidRPr="00EE01B4" w:rsidRDefault="0005358A" w:rsidP="00B5352E">
            <w:pPr>
              <w:rPr>
                <w:rStyle w:val="Hyperlink"/>
                <w:color w:val="auto"/>
                <w:sz w:val="20"/>
                <w:szCs w:val="20"/>
                <w:u w:val="none"/>
                <w:lang w:val="fr-FR"/>
              </w:rPr>
            </w:pPr>
            <w:r w:rsidRPr="00EE01B4">
              <w:rPr>
                <w:rStyle w:val="Hyperlink"/>
                <w:color w:val="auto"/>
                <w:sz w:val="20"/>
                <w:szCs w:val="20"/>
                <w:u w:val="none"/>
                <w:lang w:val="fr-FR"/>
              </w:rPr>
              <w:t xml:space="preserve">The Nature </w:t>
            </w:r>
            <w:proofErr w:type="spellStart"/>
            <w:r w:rsidRPr="00EE01B4">
              <w:rPr>
                <w:rStyle w:val="Hyperlink"/>
                <w:color w:val="auto"/>
                <w:sz w:val="20"/>
                <w:szCs w:val="20"/>
                <w:u w:val="none"/>
                <w:lang w:val="fr-FR"/>
              </w:rPr>
              <w:t>Conservancy</w:t>
            </w:r>
            <w:proofErr w:type="spellEnd"/>
          </w:p>
          <w:p w:rsidR="0005358A" w:rsidRPr="00EE01B4" w:rsidRDefault="0005358A" w:rsidP="0073584B">
            <w:pPr>
              <w:rPr>
                <w:rFonts w:cs="Arial"/>
                <w:sz w:val="20"/>
                <w:szCs w:val="20"/>
                <w:lang w:val="fr-FR"/>
              </w:rPr>
            </w:pPr>
            <w:r w:rsidRPr="00EE01B4">
              <w:rPr>
                <w:rFonts w:cs="Arial"/>
                <w:sz w:val="20"/>
                <w:szCs w:val="20"/>
                <w:u w:val="single"/>
                <w:lang w:val="fr-FR"/>
              </w:rPr>
              <w:t>Résumé</w:t>
            </w:r>
            <w:r w:rsidRPr="00EE01B4">
              <w:rPr>
                <w:rFonts w:cs="Arial"/>
                <w:sz w:val="20"/>
                <w:szCs w:val="20"/>
                <w:lang w:val="fr-FR"/>
              </w:rPr>
              <w:t> : </w:t>
            </w:r>
            <w:proofErr w:type="spellStart"/>
            <w:r w:rsidRPr="00EE01B4">
              <w:rPr>
                <w:rFonts w:cs="Arial"/>
                <w:sz w:val="20"/>
                <w:szCs w:val="20"/>
                <w:lang w:val="fr-FR"/>
              </w:rPr>
              <w:t>BestCat</w:t>
            </w:r>
            <w:proofErr w:type="spellEnd"/>
            <w:r w:rsidRPr="00EE01B4">
              <w:rPr>
                <w:rFonts w:cs="Arial"/>
                <w:sz w:val="20"/>
                <w:szCs w:val="20"/>
                <w:lang w:val="fr-FR"/>
              </w:rPr>
              <w:t xml:space="preserve"> est une application de cartographie sur internet qui fournit aux entreprises la possibilité de comparer et de mettre en contraste les biens mondiaux d’après les valeurs et conditions des écosystèmes et de la biodiversité associée. Cette application efficace et facile à utiliser donne aux entreprises un ensemble de données préalable, soulignant la biodiversité et les risques pour les services écosystémiques, et identifie rapidement les zones critiques où s’impose une gestion des risques. L’analyse </w:t>
            </w:r>
            <w:proofErr w:type="spellStart"/>
            <w:r w:rsidRPr="00EE01B4">
              <w:rPr>
                <w:rFonts w:cs="Arial"/>
                <w:sz w:val="20"/>
                <w:szCs w:val="20"/>
                <w:lang w:val="fr-FR"/>
              </w:rPr>
              <w:t>BestCat</w:t>
            </w:r>
            <w:proofErr w:type="spellEnd"/>
            <w:r w:rsidRPr="00EE01B4">
              <w:rPr>
                <w:rFonts w:cs="Arial"/>
                <w:sz w:val="20"/>
                <w:szCs w:val="20"/>
                <w:lang w:val="fr-FR"/>
              </w:rPr>
              <w:t xml:space="preserve"> sert de base à l’élaboration d’approches rentables d’atténuation des risques en identifiant les zones associées à des risques environnementaux potentiels.  </w:t>
            </w:r>
          </w:p>
        </w:tc>
      </w:tr>
      <w:tr w:rsidR="0005358A" w:rsidRPr="00EE01B4" w:rsidTr="004728C4">
        <w:tc>
          <w:tcPr>
            <w:tcW w:w="3067" w:type="dxa"/>
          </w:tcPr>
          <w:p w:rsidR="0005358A" w:rsidRPr="00EE01B4" w:rsidRDefault="00DF180B" w:rsidP="005073C8">
            <w:pPr>
              <w:spacing w:after="40"/>
              <w:rPr>
                <w:color w:val="0000FF" w:themeColor="hyperlink"/>
                <w:sz w:val="20"/>
                <w:szCs w:val="20"/>
                <w:u w:val="single"/>
                <w:lang w:val="fr-FR"/>
              </w:rPr>
            </w:pPr>
            <w:hyperlink r:id="rId32" w:history="1">
              <w:r w:rsidR="0005358A" w:rsidRPr="00EE01B4">
                <w:rPr>
                  <w:rStyle w:val="Hyperlink"/>
                  <w:sz w:val="20"/>
                  <w:szCs w:val="20"/>
                  <w:lang w:val="fr-FR"/>
                </w:rPr>
                <w:t>Management</w:t>
              </w:r>
            </w:hyperlink>
            <w:r w:rsidR="0005358A" w:rsidRPr="00EE01B4">
              <w:rPr>
                <w:rStyle w:val="Hyperlink"/>
                <w:sz w:val="20"/>
                <w:szCs w:val="20"/>
                <w:lang w:val="fr-FR"/>
              </w:rPr>
              <w:t xml:space="preserve"> </w:t>
            </w:r>
            <w:proofErr w:type="spellStart"/>
            <w:r w:rsidR="0005358A" w:rsidRPr="00EE01B4">
              <w:rPr>
                <w:rStyle w:val="Hyperlink"/>
                <w:sz w:val="20"/>
                <w:szCs w:val="20"/>
                <w:lang w:val="fr-FR"/>
              </w:rPr>
              <w:t>Effectiveness</w:t>
            </w:r>
            <w:proofErr w:type="spellEnd"/>
            <w:r w:rsidR="0005358A" w:rsidRPr="00EE01B4">
              <w:rPr>
                <w:rStyle w:val="Hyperlink"/>
                <w:sz w:val="20"/>
                <w:szCs w:val="20"/>
                <w:lang w:val="fr-FR"/>
              </w:rPr>
              <w:t xml:space="preserve"> </w:t>
            </w:r>
            <w:proofErr w:type="spellStart"/>
            <w:r w:rsidR="0005358A" w:rsidRPr="00EE01B4">
              <w:rPr>
                <w:rStyle w:val="Hyperlink"/>
                <w:sz w:val="20"/>
                <w:szCs w:val="20"/>
                <w:lang w:val="fr-FR"/>
              </w:rPr>
              <w:t>Tracking</w:t>
            </w:r>
            <w:proofErr w:type="spellEnd"/>
            <w:r w:rsidR="0005358A" w:rsidRPr="00EE01B4">
              <w:rPr>
                <w:rStyle w:val="Hyperlink"/>
                <w:sz w:val="20"/>
                <w:szCs w:val="20"/>
                <w:lang w:val="fr-FR"/>
              </w:rPr>
              <w:t xml:space="preserve"> </w:t>
            </w:r>
            <w:proofErr w:type="spellStart"/>
            <w:r w:rsidR="0005358A" w:rsidRPr="00EE01B4">
              <w:rPr>
                <w:rStyle w:val="Hyperlink"/>
                <w:sz w:val="20"/>
                <w:szCs w:val="20"/>
                <w:lang w:val="fr-FR"/>
              </w:rPr>
              <w:t>Tool</w:t>
            </w:r>
            <w:proofErr w:type="spellEnd"/>
          </w:p>
        </w:tc>
        <w:tc>
          <w:tcPr>
            <w:tcW w:w="2171" w:type="dxa"/>
          </w:tcPr>
          <w:p w:rsidR="0005358A" w:rsidRPr="00EE01B4" w:rsidRDefault="0005358A" w:rsidP="00B5352E">
            <w:pPr>
              <w:rPr>
                <w:rFonts w:cs="Arial"/>
                <w:sz w:val="20"/>
                <w:szCs w:val="20"/>
                <w:lang w:val="fr-FR"/>
              </w:rPr>
            </w:pPr>
          </w:p>
        </w:tc>
        <w:tc>
          <w:tcPr>
            <w:tcW w:w="2520" w:type="dxa"/>
          </w:tcPr>
          <w:p w:rsidR="0005358A" w:rsidRPr="00EE01B4" w:rsidRDefault="0005358A" w:rsidP="00B5352E">
            <w:pPr>
              <w:rPr>
                <w:rFonts w:cs="Arial"/>
                <w:sz w:val="20"/>
                <w:szCs w:val="20"/>
                <w:lang w:val="fr-FR"/>
              </w:rPr>
            </w:pPr>
          </w:p>
        </w:tc>
        <w:tc>
          <w:tcPr>
            <w:tcW w:w="1260" w:type="dxa"/>
          </w:tcPr>
          <w:p w:rsidR="0005358A" w:rsidRPr="00EE01B4" w:rsidRDefault="0005358A" w:rsidP="00B5352E">
            <w:pPr>
              <w:rPr>
                <w:rFonts w:cs="Arial"/>
                <w:sz w:val="20"/>
                <w:szCs w:val="20"/>
                <w:lang w:val="fr-FR"/>
              </w:rPr>
            </w:pPr>
          </w:p>
        </w:tc>
        <w:tc>
          <w:tcPr>
            <w:tcW w:w="1260" w:type="dxa"/>
          </w:tcPr>
          <w:p w:rsidR="0005358A" w:rsidRPr="00EE01B4" w:rsidRDefault="0005358A" w:rsidP="00B5352E">
            <w:pPr>
              <w:spacing w:after="40"/>
              <w:rPr>
                <w:sz w:val="20"/>
                <w:szCs w:val="20"/>
                <w:lang w:val="fr-FR"/>
              </w:rPr>
            </w:pPr>
          </w:p>
        </w:tc>
        <w:tc>
          <w:tcPr>
            <w:tcW w:w="5336" w:type="dxa"/>
          </w:tcPr>
          <w:p w:rsidR="0005358A" w:rsidRPr="00EE01B4" w:rsidRDefault="0005358A" w:rsidP="00B5352E">
            <w:pPr>
              <w:rPr>
                <w:rStyle w:val="Hyperlink"/>
                <w:color w:val="auto"/>
                <w:sz w:val="20"/>
                <w:szCs w:val="20"/>
                <w:u w:val="none"/>
                <w:lang w:val="fr-FR"/>
              </w:rPr>
            </w:pPr>
            <w:r w:rsidRPr="00EE01B4">
              <w:rPr>
                <w:rStyle w:val="Hyperlink"/>
                <w:color w:val="auto"/>
                <w:sz w:val="20"/>
                <w:szCs w:val="20"/>
                <w:u w:val="none"/>
                <w:lang w:val="fr-FR"/>
              </w:rPr>
              <w:t>WWF &amp; Banque mondiale</w:t>
            </w:r>
          </w:p>
          <w:p w:rsidR="0005358A" w:rsidRPr="00EE01B4" w:rsidRDefault="0005358A" w:rsidP="00B46AE2">
            <w:pPr>
              <w:rPr>
                <w:rFonts w:cs="Arial"/>
                <w:sz w:val="20"/>
                <w:szCs w:val="20"/>
                <w:lang w:val="fr-FR"/>
              </w:rPr>
            </w:pPr>
            <w:r w:rsidRPr="00EE01B4">
              <w:rPr>
                <w:rFonts w:cs="Arial"/>
                <w:sz w:val="20"/>
                <w:szCs w:val="20"/>
                <w:u w:val="single"/>
                <w:lang w:val="fr-FR"/>
              </w:rPr>
              <w:t>Résumé</w:t>
            </w:r>
            <w:r w:rsidRPr="00EE01B4">
              <w:rPr>
                <w:rFonts w:cs="Arial"/>
                <w:sz w:val="20"/>
                <w:szCs w:val="20"/>
                <w:lang w:val="fr-FR"/>
              </w:rPr>
              <w:t xml:space="preserve"> : L’Outil de suivi de l’efficacité de la gestion (METT ou Outil de suivi) a été élaboré pour aider à déterminer et surveiller les progrès en matière de réalisation de l’objectif d’efficacité de la gestion de l’Alliance Banque mondiale/WWF pour les aires protégées du monde entier. Il est aussi souhaité que cet Outil de suivi soit utilisé plus généralement pour aider à surveiller les progrès de l’efficacité de la gestion… En outre, l’utilisation de l’Outil de suivi peut aider les administrateurs à déterminer les progrès d’application des engagements pour les aires protégées, conformément à la Convention sur la diversité biologique et à la Convention de Ramsar sur les zones humides.  </w:t>
            </w:r>
          </w:p>
        </w:tc>
      </w:tr>
      <w:tr w:rsidR="0005358A" w:rsidRPr="00EE01B4" w:rsidTr="004728C4">
        <w:tc>
          <w:tcPr>
            <w:tcW w:w="3067" w:type="dxa"/>
          </w:tcPr>
          <w:p w:rsidR="0005358A" w:rsidRPr="00EE01B4" w:rsidRDefault="00DF180B" w:rsidP="00DC0C4F">
            <w:pPr>
              <w:spacing w:after="40"/>
              <w:rPr>
                <w:color w:val="0000FF" w:themeColor="hyperlink"/>
                <w:sz w:val="20"/>
                <w:szCs w:val="20"/>
                <w:u w:val="single"/>
                <w:lang w:val="fr-FR"/>
              </w:rPr>
            </w:pPr>
            <w:hyperlink r:id="rId33" w:history="1">
              <w:r w:rsidR="0005358A" w:rsidRPr="00EE01B4">
                <w:rPr>
                  <w:rStyle w:val="Hyperlink"/>
                  <w:sz w:val="20"/>
                  <w:szCs w:val="20"/>
                  <w:lang w:val="fr-FR"/>
                </w:rPr>
                <w:t>Guide de développement et d’utilisation des indicateurs nationaux de la biodiversité</w:t>
              </w:r>
            </w:hyperlink>
            <w:r w:rsidR="0005358A" w:rsidRPr="00EE01B4">
              <w:rPr>
                <w:sz w:val="20"/>
                <w:szCs w:val="20"/>
                <w:lang w:val="fr-FR"/>
              </w:rPr>
              <w:t xml:space="preserve"> </w:t>
            </w:r>
          </w:p>
        </w:tc>
        <w:tc>
          <w:tcPr>
            <w:tcW w:w="2171" w:type="dxa"/>
          </w:tcPr>
          <w:p w:rsidR="0005358A" w:rsidRPr="00EE01B4" w:rsidRDefault="0005358A" w:rsidP="00B5352E">
            <w:pPr>
              <w:rPr>
                <w:rFonts w:cs="Arial"/>
                <w:sz w:val="20"/>
                <w:szCs w:val="20"/>
                <w:lang w:val="fr-FR"/>
              </w:rPr>
            </w:pPr>
          </w:p>
        </w:tc>
        <w:tc>
          <w:tcPr>
            <w:tcW w:w="2520" w:type="dxa"/>
          </w:tcPr>
          <w:p w:rsidR="0005358A" w:rsidRPr="00EE01B4" w:rsidRDefault="0005358A" w:rsidP="00B5352E">
            <w:pPr>
              <w:rPr>
                <w:rFonts w:cs="Arial"/>
                <w:sz w:val="20"/>
                <w:szCs w:val="20"/>
                <w:lang w:val="fr-FR"/>
              </w:rPr>
            </w:pPr>
          </w:p>
        </w:tc>
        <w:tc>
          <w:tcPr>
            <w:tcW w:w="1260" w:type="dxa"/>
          </w:tcPr>
          <w:p w:rsidR="0005358A" w:rsidRPr="00EE01B4" w:rsidRDefault="0005358A" w:rsidP="00B5352E">
            <w:pPr>
              <w:rPr>
                <w:rFonts w:cs="Arial"/>
                <w:sz w:val="20"/>
                <w:szCs w:val="20"/>
                <w:lang w:val="fr-FR"/>
              </w:rPr>
            </w:pPr>
          </w:p>
        </w:tc>
        <w:tc>
          <w:tcPr>
            <w:tcW w:w="1260" w:type="dxa"/>
          </w:tcPr>
          <w:p w:rsidR="0005358A" w:rsidRPr="00EE01B4" w:rsidRDefault="0005358A" w:rsidP="00D45DDB">
            <w:pPr>
              <w:spacing w:after="40"/>
              <w:rPr>
                <w:sz w:val="20"/>
                <w:szCs w:val="20"/>
                <w:lang w:val="fr-FR"/>
              </w:rPr>
            </w:pPr>
            <w:r w:rsidRPr="00EE01B4">
              <w:rPr>
                <w:rStyle w:val="Hyperlink"/>
                <w:color w:val="auto"/>
                <w:sz w:val="20"/>
                <w:szCs w:val="20"/>
                <w:u w:val="none"/>
                <w:lang w:val="fr-FR"/>
              </w:rPr>
              <w:t>EFS (et autres)</w:t>
            </w:r>
          </w:p>
        </w:tc>
        <w:tc>
          <w:tcPr>
            <w:tcW w:w="5336" w:type="dxa"/>
          </w:tcPr>
          <w:p w:rsidR="0005358A" w:rsidRPr="00EE01B4" w:rsidRDefault="0005358A" w:rsidP="00B5352E">
            <w:pPr>
              <w:rPr>
                <w:rStyle w:val="Hyperlink"/>
                <w:color w:val="auto"/>
                <w:sz w:val="20"/>
                <w:szCs w:val="20"/>
                <w:u w:val="none"/>
                <w:lang w:val="fr-FR"/>
              </w:rPr>
            </w:pPr>
            <w:r w:rsidRPr="00EE01B4">
              <w:rPr>
                <w:rStyle w:val="Hyperlink"/>
                <w:color w:val="auto"/>
                <w:sz w:val="20"/>
                <w:szCs w:val="20"/>
                <w:u w:val="none"/>
                <w:lang w:val="fr-FR"/>
              </w:rPr>
              <w:t xml:space="preserve">Partenariat relatif aux indicateurs de la biodiversité </w:t>
            </w:r>
          </w:p>
          <w:p w:rsidR="0005358A" w:rsidRPr="00EE01B4" w:rsidRDefault="0005358A" w:rsidP="00B46AE2">
            <w:pPr>
              <w:rPr>
                <w:rFonts w:cs="Arial"/>
                <w:sz w:val="20"/>
                <w:szCs w:val="20"/>
                <w:lang w:val="fr-FR"/>
              </w:rPr>
            </w:pPr>
            <w:r w:rsidRPr="00EE01B4">
              <w:rPr>
                <w:rFonts w:cs="Arial"/>
                <w:sz w:val="20"/>
                <w:szCs w:val="20"/>
                <w:u w:val="single"/>
                <w:lang w:val="fr-FR"/>
              </w:rPr>
              <w:t>Résumé</w:t>
            </w:r>
            <w:r w:rsidRPr="00EE01B4">
              <w:rPr>
                <w:rFonts w:cs="Arial"/>
                <w:sz w:val="20"/>
                <w:szCs w:val="20"/>
                <w:lang w:val="fr-FR"/>
              </w:rPr>
              <w:t xml:space="preserve"> : Ce document a été conçu pour faciliter le développement d’indicateurs nationaux de la biodiversité pour utilisation dans les rapports, les processus de décision, la gestion de l’environnement et l’éducation. Il est principalement destiné aux personnes en charge du développement des indicateurs de la biodiversité : agences </w:t>
            </w:r>
            <w:r w:rsidRPr="00EE01B4">
              <w:rPr>
                <w:rFonts w:cs="Arial"/>
                <w:sz w:val="20"/>
                <w:szCs w:val="20"/>
                <w:lang w:val="fr-FR"/>
              </w:rPr>
              <w:lastRenderedPageBreak/>
              <w:t xml:space="preserve">gouvernementales, universitaires ou ONG.  </w:t>
            </w:r>
          </w:p>
        </w:tc>
      </w:tr>
    </w:tbl>
    <w:p w:rsidR="00220111" w:rsidRPr="00EE01B4" w:rsidRDefault="00220111" w:rsidP="00D45DDB">
      <w:pPr>
        <w:spacing w:after="0" w:line="240" w:lineRule="auto"/>
        <w:rPr>
          <w:rFonts w:cs="Arial"/>
          <w:lang w:val="fr-FR"/>
        </w:rPr>
      </w:pPr>
    </w:p>
    <w:p w:rsidR="00E26A7E" w:rsidRPr="00EE01B4" w:rsidRDefault="00E26A7E" w:rsidP="00D45DDB">
      <w:pPr>
        <w:spacing w:after="0" w:line="240" w:lineRule="auto"/>
        <w:rPr>
          <w:rFonts w:cs="Arial"/>
          <w:lang w:val="fr-FR"/>
        </w:rPr>
      </w:pPr>
    </w:p>
    <w:tbl>
      <w:tblPr>
        <w:tblStyle w:val="TableGrid"/>
        <w:tblW w:w="0" w:type="auto"/>
        <w:tblLook w:val="04A0" w:firstRow="1" w:lastRow="0" w:firstColumn="1" w:lastColumn="0" w:noHBand="0" w:noVBand="1"/>
      </w:tblPr>
      <w:tblGrid>
        <w:gridCol w:w="3045"/>
        <w:gridCol w:w="2167"/>
        <w:gridCol w:w="2621"/>
        <w:gridCol w:w="1258"/>
        <w:gridCol w:w="1258"/>
        <w:gridCol w:w="5265"/>
      </w:tblGrid>
      <w:tr w:rsidR="009E1083" w:rsidRPr="00EE01B4" w:rsidTr="001F7B58">
        <w:tc>
          <w:tcPr>
            <w:tcW w:w="15614" w:type="dxa"/>
            <w:gridSpan w:val="6"/>
            <w:shd w:val="clear" w:color="auto" w:fill="FBD4B4" w:themeFill="accent6" w:themeFillTint="66"/>
          </w:tcPr>
          <w:p w:rsidR="009E1083" w:rsidRPr="00EE01B4" w:rsidRDefault="0005358A" w:rsidP="00056AD3">
            <w:pPr>
              <w:jc w:val="center"/>
              <w:rPr>
                <w:rFonts w:cs="Arial"/>
                <w:b/>
                <w:sz w:val="20"/>
                <w:szCs w:val="20"/>
                <w:lang w:val="fr-FR"/>
              </w:rPr>
            </w:pPr>
            <w:r w:rsidRPr="00EE01B4">
              <w:rPr>
                <w:rFonts w:cs="Arial"/>
                <w:b/>
                <w:sz w:val="20"/>
                <w:szCs w:val="20"/>
                <w:lang w:val="fr-CH"/>
              </w:rPr>
              <w:t>Domaine de travail thématique no 2 : Meilleures pratiques pour élaborer et appliquer des outils pour les Sites Ramsar et autres zones humides</w:t>
            </w:r>
            <w:r w:rsidR="00E26A7E" w:rsidRPr="00EE01B4">
              <w:rPr>
                <w:rFonts w:cs="Arial"/>
                <w:b/>
                <w:sz w:val="20"/>
                <w:szCs w:val="20"/>
                <w:lang w:val="fr-CH"/>
              </w:rPr>
              <w:t>,</w:t>
            </w:r>
            <w:r w:rsidRPr="00EE01B4">
              <w:rPr>
                <w:rFonts w:cs="Arial"/>
                <w:b/>
                <w:sz w:val="20"/>
                <w:szCs w:val="20"/>
                <w:lang w:val="fr-CH"/>
              </w:rPr>
              <w:t xml:space="preserve"> reconnaissant les pratiques traditionnelles des populations autochtones et des communautés locales</w:t>
            </w:r>
          </w:p>
        </w:tc>
      </w:tr>
      <w:tr w:rsidR="00813EA9" w:rsidRPr="00EE01B4" w:rsidTr="001F7B58">
        <w:tc>
          <w:tcPr>
            <w:tcW w:w="3045" w:type="dxa"/>
            <w:shd w:val="clear" w:color="auto" w:fill="FBD4B4" w:themeFill="accent6" w:themeFillTint="66"/>
          </w:tcPr>
          <w:p w:rsidR="009E1083" w:rsidRPr="00EE01B4" w:rsidRDefault="00D45DDB" w:rsidP="00D45DDB">
            <w:pPr>
              <w:jc w:val="center"/>
              <w:rPr>
                <w:rFonts w:cs="Arial"/>
                <w:b/>
                <w:sz w:val="20"/>
                <w:szCs w:val="20"/>
                <w:lang w:val="fr-FR"/>
              </w:rPr>
            </w:pPr>
            <w:r w:rsidRPr="00EE01B4">
              <w:rPr>
                <w:rFonts w:cs="Arial"/>
                <w:b/>
                <w:sz w:val="20"/>
                <w:szCs w:val="20"/>
                <w:lang w:val="fr-FR"/>
              </w:rPr>
              <w:t>Titre</w:t>
            </w:r>
          </w:p>
        </w:tc>
        <w:tc>
          <w:tcPr>
            <w:tcW w:w="2167" w:type="dxa"/>
            <w:shd w:val="clear" w:color="auto" w:fill="FBD4B4" w:themeFill="accent6" w:themeFillTint="66"/>
          </w:tcPr>
          <w:p w:rsidR="009E1083" w:rsidRPr="00EE01B4" w:rsidRDefault="00E35FB9" w:rsidP="00056AD3">
            <w:pPr>
              <w:jc w:val="center"/>
              <w:rPr>
                <w:rFonts w:cs="Arial"/>
                <w:b/>
                <w:sz w:val="20"/>
                <w:szCs w:val="20"/>
                <w:lang w:val="fr-FR"/>
              </w:rPr>
            </w:pPr>
            <w:r w:rsidRPr="00EE01B4">
              <w:rPr>
                <w:rFonts w:cs="Arial"/>
                <w:b/>
                <w:sz w:val="20"/>
                <w:szCs w:val="20"/>
                <w:lang w:val="fr-FR"/>
              </w:rPr>
              <w:t xml:space="preserve">Type </w:t>
            </w:r>
            <w:r w:rsidR="00056AD3" w:rsidRPr="00EE01B4">
              <w:rPr>
                <w:rFonts w:cs="Arial"/>
                <w:b/>
                <w:sz w:val="20"/>
                <w:szCs w:val="20"/>
                <w:lang w:val="fr-FR"/>
              </w:rPr>
              <w:t>d’orientation</w:t>
            </w:r>
          </w:p>
        </w:tc>
        <w:tc>
          <w:tcPr>
            <w:tcW w:w="2621" w:type="dxa"/>
            <w:shd w:val="clear" w:color="auto" w:fill="FBD4B4" w:themeFill="accent6" w:themeFillTint="66"/>
          </w:tcPr>
          <w:p w:rsidR="009E1083" w:rsidRPr="00EE01B4" w:rsidRDefault="00D45DDB" w:rsidP="00D45DDB">
            <w:pPr>
              <w:jc w:val="center"/>
              <w:rPr>
                <w:rFonts w:cs="Arial"/>
                <w:b/>
                <w:sz w:val="20"/>
                <w:szCs w:val="20"/>
                <w:lang w:val="fr-FR"/>
              </w:rPr>
            </w:pPr>
            <w:r w:rsidRPr="00EE01B4">
              <w:rPr>
                <w:rFonts w:cs="Arial"/>
                <w:b/>
                <w:sz w:val="20"/>
                <w:szCs w:val="20"/>
                <w:lang w:val="fr-FR"/>
              </w:rPr>
              <w:t>Public (praticiens, décideurs, scientifiques)</w:t>
            </w:r>
          </w:p>
        </w:tc>
        <w:tc>
          <w:tcPr>
            <w:tcW w:w="1258" w:type="dxa"/>
            <w:shd w:val="clear" w:color="auto" w:fill="FBD4B4" w:themeFill="accent6" w:themeFillTint="66"/>
          </w:tcPr>
          <w:p w:rsidR="009E1083" w:rsidRPr="00EE01B4" w:rsidRDefault="00D45DDB" w:rsidP="00D45DDB">
            <w:pPr>
              <w:jc w:val="center"/>
              <w:rPr>
                <w:rFonts w:cs="Arial"/>
                <w:b/>
                <w:sz w:val="20"/>
                <w:szCs w:val="20"/>
                <w:lang w:val="fr-FR"/>
              </w:rPr>
            </w:pPr>
            <w:r w:rsidRPr="00EE01B4">
              <w:rPr>
                <w:rFonts w:cs="Arial"/>
                <w:b/>
                <w:sz w:val="20"/>
                <w:szCs w:val="20"/>
                <w:lang w:val="fr-FR"/>
              </w:rPr>
              <w:t xml:space="preserve">Manuel </w:t>
            </w:r>
            <w:r w:rsidR="009E1083" w:rsidRPr="00EE01B4">
              <w:rPr>
                <w:rFonts w:cs="Arial"/>
                <w:b/>
                <w:sz w:val="20"/>
                <w:szCs w:val="20"/>
                <w:lang w:val="fr-FR"/>
              </w:rPr>
              <w:t xml:space="preserve">Ramsar </w:t>
            </w:r>
          </w:p>
        </w:tc>
        <w:tc>
          <w:tcPr>
            <w:tcW w:w="1258" w:type="dxa"/>
            <w:shd w:val="clear" w:color="auto" w:fill="FBD4B4" w:themeFill="accent6" w:themeFillTint="66"/>
          </w:tcPr>
          <w:p w:rsidR="009E1083" w:rsidRPr="00EE01B4" w:rsidRDefault="009E1083" w:rsidP="00D45DDB">
            <w:pPr>
              <w:jc w:val="center"/>
              <w:rPr>
                <w:rFonts w:cs="Arial"/>
                <w:b/>
                <w:sz w:val="20"/>
                <w:szCs w:val="20"/>
                <w:lang w:val="fr-FR"/>
              </w:rPr>
            </w:pPr>
            <w:r w:rsidRPr="00EE01B4">
              <w:rPr>
                <w:rFonts w:cs="Arial"/>
                <w:b/>
                <w:sz w:val="20"/>
                <w:szCs w:val="20"/>
                <w:lang w:val="fr-FR"/>
              </w:rPr>
              <w:t>Langu</w:t>
            </w:r>
            <w:r w:rsidR="00D45DDB" w:rsidRPr="00EE01B4">
              <w:rPr>
                <w:rFonts w:cs="Arial"/>
                <w:b/>
                <w:sz w:val="20"/>
                <w:szCs w:val="20"/>
                <w:lang w:val="fr-FR"/>
              </w:rPr>
              <w:t>e</w:t>
            </w:r>
            <w:r w:rsidRPr="00EE01B4">
              <w:rPr>
                <w:rStyle w:val="FootnoteReference"/>
                <w:rFonts w:cs="Arial"/>
                <w:b/>
                <w:sz w:val="20"/>
                <w:szCs w:val="20"/>
                <w:lang w:val="fr-FR"/>
              </w:rPr>
              <w:footnoteReference w:id="2"/>
            </w:r>
          </w:p>
        </w:tc>
        <w:tc>
          <w:tcPr>
            <w:tcW w:w="5265" w:type="dxa"/>
            <w:shd w:val="clear" w:color="auto" w:fill="FBD4B4" w:themeFill="accent6" w:themeFillTint="66"/>
          </w:tcPr>
          <w:p w:rsidR="009E1083" w:rsidRPr="00EE01B4" w:rsidRDefault="00263CF9" w:rsidP="00D45DDB">
            <w:pPr>
              <w:jc w:val="center"/>
              <w:rPr>
                <w:rFonts w:cs="Arial"/>
                <w:b/>
                <w:sz w:val="20"/>
                <w:szCs w:val="20"/>
                <w:lang w:val="fr-FR"/>
              </w:rPr>
            </w:pPr>
            <w:r w:rsidRPr="00EE01B4">
              <w:rPr>
                <w:rFonts w:cs="Arial"/>
                <w:b/>
                <w:sz w:val="20"/>
                <w:szCs w:val="20"/>
                <w:lang w:val="fr-FR"/>
              </w:rPr>
              <w:t>Notes</w:t>
            </w:r>
          </w:p>
        </w:tc>
      </w:tr>
      <w:tr w:rsidR="006450F2" w:rsidRPr="00EE01B4" w:rsidTr="006450F2">
        <w:tc>
          <w:tcPr>
            <w:tcW w:w="15614" w:type="dxa"/>
            <w:gridSpan w:val="6"/>
            <w:shd w:val="clear" w:color="auto" w:fill="F2F2F2" w:themeFill="background1" w:themeFillShade="F2"/>
          </w:tcPr>
          <w:p w:rsidR="006450F2" w:rsidRPr="00EE01B4" w:rsidRDefault="00056AD3" w:rsidP="00056AD3">
            <w:pPr>
              <w:spacing w:after="40"/>
              <w:jc w:val="center"/>
              <w:rPr>
                <w:b/>
                <w:sz w:val="20"/>
                <w:szCs w:val="20"/>
                <w:lang w:val="fr-FR"/>
              </w:rPr>
            </w:pPr>
            <w:r w:rsidRPr="00EE01B4">
              <w:rPr>
                <w:b/>
                <w:sz w:val="20"/>
                <w:szCs w:val="20"/>
                <w:lang w:val="fr-FR"/>
              </w:rPr>
              <w:t xml:space="preserve">Orientations </w:t>
            </w:r>
            <w:r w:rsidR="006450F2" w:rsidRPr="00EE01B4">
              <w:rPr>
                <w:b/>
                <w:sz w:val="20"/>
                <w:szCs w:val="20"/>
                <w:lang w:val="fr-FR"/>
              </w:rPr>
              <w:t xml:space="preserve">Ramsar </w:t>
            </w:r>
          </w:p>
        </w:tc>
      </w:tr>
      <w:tr w:rsidR="001F7B58" w:rsidRPr="00EE01B4" w:rsidTr="009463F9">
        <w:tc>
          <w:tcPr>
            <w:tcW w:w="15614" w:type="dxa"/>
            <w:gridSpan w:val="6"/>
            <w:shd w:val="clear" w:color="auto" w:fill="FBD4B4" w:themeFill="accent6" w:themeFillTint="66"/>
          </w:tcPr>
          <w:p w:rsidR="001F7B58" w:rsidRPr="00EE01B4" w:rsidRDefault="001F7B58" w:rsidP="00D45DDB">
            <w:pPr>
              <w:spacing w:after="40"/>
              <w:rPr>
                <w:sz w:val="20"/>
                <w:szCs w:val="20"/>
                <w:lang w:val="fr-FR"/>
              </w:rPr>
            </w:pPr>
            <w:r w:rsidRPr="00EE01B4">
              <w:rPr>
                <w:b/>
                <w:sz w:val="20"/>
                <w:szCs w:val="20"/>
                <w:lang w:val="fr-CH"/>
              </w:rPr>
              <w:t>Mise à jour 2016-2019</w:t>
            </w:r>
          </w:p>
        </w:tc>
      </w:tr>
      <w:tr w:rsidR="006F2361" w:rsidRPr="00EE01B4" w:rsidTr="00D45DDB">
        <w:tc>
          <w:tcPr>
            <w:tcW w:w="3045" w:type="dxa"/>
          </w:tcPr>
          <w:p w:rsidR="006F2361" w:rsidRPr="00EE01B4" w:rsidRDefault="00DF180B" w:rsidP="007F2A42">
            <w:pPr>
              <w:rPr>
                <w:sz w:val="20"/>
                <w:szCs w:val="20"/>
                <w:lang w:val="fr-CH"/>
              </w:rPr>
            </w:pPr>
            <w:hyperlink r:id="rId34" w:history="1">
              <w:r w:rsidR="006F2361" w:rsidRPr="00EE01B4">
                <w:rPr>
                  <w:rStyle w:val="Hyperlink"/>
                  <w:sz w:val="20"/>
                  <w:szCs w:val="20"/>
                  <w:lang w:val="fr-CH"/>
                </w:rPr>
                <w:t xml:space="preserve">Outils de gestion des Sites Ramsar </w:t>
              </w:r>
            </w:hyperlink>
          </w:p>
        </w:tc>
        <w:tc>
          <w:tcPr>
            <w:tcW w:w="2167" w:type="dxa"/>
          </w:tcPr>
          <w:p w:rsidR="006F2361" w:rsidRPr="00EE01B4" w:rsidRDefault="006F2361" w:rsidP="007F2A42">
            <w:pPr>
              <w:rPr>
                <w:rFonts w:cs="Arial"/>
                <w:sz w:val="20"/>
                <w:szCs w:val="20"/>
                <w:lang w:val="fr-CH"/>
              </w:rPr>
            </w:pPr>
            <w:r w:rsidRPr="00EE01B4">
              <w:rPr>
                <w:rFonts w:cs="Arial"/>
                <w:sz w:val="20"/>
                <w:szCs w:val="20"/>
                <w:lang w:val="fr-CH"/>
              </w:rPr>
              <w:t>Technique</w:t>
            </w:r>
          </w:p>
        </w:tc>
        <w:tc>
          <w:tcPr>
            <w:tcW w:w="2621" w:type="dxa"/>
          </w:tcPr>
          <w:p w:rsidR="006F2361" w:rsidRPr="00EE01B4" w:rsidRDefault="006F2361" w:rsidP="007F2A42">
            <w:pPr>
              <w:rPr>
                <w:rFonts w:cs="Arial"/>
                <w:sz w:val="20"/>
                <w:szCs w:val="20"/>
                <w:lang w:val="fr-CH"/>
              </w:rPr>
            </w:pPr>
            <w:r w:rsidRPr="00EE01B4">
              <w:rPr>
                <w:rFonts w:cs="Arial"/>
                <w:sz w:val="20"/>
                <w:szCs w:val="20"/>
                <w:lang w:val="fr-CH"/>
              </w:rPr>
              <w:t>Praticiens</w:t>
            </w:r>
          </w:p>
        </w:tc>
        <w:tc>
          <w:tcPr>
            <w:tcW w:w="1258" w:type="dxa"/>
          </w:tcPr>
          <w:p w:rsidR="006F2361" w:rsidRPr="00EE01B4" w:rsidRDefault="006F2361" w:rsidP="007F2A42">
            <w:pPr>
              <w:rPr>
                <w:sz w:val="20"/>
                <w:szCs w:val="20"/>
                <w:lang w:val="fr-CH"/>
              </w:rPr>
            </w:pPr>
          </w:p>
        </w:tc>
        <w:tc>
          <w:tcPr>
            <w:tcW w:w="1258" w:type="dxa"/>
          </w:tcPr>
          <w:p w:rsidR="006F2361" w:rsidRPr="00EE01B4" w:rsidRDefault="006F2361" w:rsidP="007F2A42">
            <w:pPr>
              <w:rPr>
                <w:sz w:val="20"/>
                <w:szCs w:val="20"/>
                <w:lang w:val="fr-CH"/>
              </w:rPr>
            </w:pPr>
            <w:r w:rsidRPr="00EE01B4">
              <w:rPr>
                <w:sz w:val="20"/>
                <w:szCs w:val="20"/>
                <w:lang w:val="fr-CH"/>
              </w:rPr>
              <w:t>EFS</w:t>
            </w:r>
          </w:p>
        </w:tc>
        <w:tc>
          <w:tcPr>
            <w:tcW w:w="5265" w:type="dxa"/>
          </w:tcPr>
          <w:p w:rsidR="006F2361" w:rsidRPr="00EE01B4" w:rsidRDefault="006F2361" w:rsidP="007F2A42">
            <w:pPr>
              <w:rPr>
                <w:sz w:val="20"/>
                <w:szCs w:val="20"/>
                <w:lang w:val="fr-CH"/>
              </w:rPr>
            </w:pPr>
            <w:r w:rsidRPr="00EE01B4">
              <w:rPr>
                <w:sz w:val="20"/>
                <w:szCs w:val="20"/>
                <w:u w:val="single"/>
                <w:lang w:val="fr-CH"/>
              </w:rPr>
              <w:t xml:space="preserve">Résumé </w:t>
            </w:r>
            <w:r w:rsidRPr="00EE01B4">
              <w:rPr>
                <w:sz w:val="20"/>
                <w:szCs w:val="20"/>
                <w:lang w:val="fr-CH"/>
              </w:rPr>
              <w:t>: « Ces outils sont conçus de manière à fournir des orientations simples aux administrateurs de sites sur les mesures clés et les éléments qui relèvent de la gestion d’un Site Ramsar. On y identifie et fournit des liens vers des informations plus précises sur chacune des étapes, y compris des publications clés émanant d’autres entités que Ramsar, le cas échéant. Ces outils s’adressent principalement aux administrateurs de Sites Ramsar mais ils peuvent aussi être utilisés par tous ceux qui gèrent des zones humides qui ne sont pas des Sites Ramsar. »</w:t>
            </w:r>
          </w:p>
        </w:tc>
      </w:tr>
      <w:tr w:rsidR="006F2361" w:rsidRPr="00EE01B4" w:rsidTr="009D62D8">
        <w:tc>
          <w:tcPr>
            <w:tcW w:w="15614" w:type="dxa"/>
            <w:gridSpan w:val="6"/>
            <w:shd w:val="clear" w:color="auto" w:fill="FBD4B4" w:themeFill="accent6" w:themeFillTint="66"/>
          </w:tcPr>
          <w:p w:rsidR="006F2361" w:rsidRPr="00EE01B4" w:rsidRDefault="006F2361" w:rsidP="00D45DDB">
            <w:pPr>
              <w:spacing w:after="40"/>
              <w:rPr>
                <w:sz w:val="20"/>
                <w:szCs w:val="20"/>
                <w:lang w:val="fr-FR"/>
              </w:rPr>
            </w:pPr>
            <w:r w:rsidRPr="00EE01B4">
              <w:rPr>
                <w:rFonts w:cs="Arial"/>
                <w:b/>
                <w:sz w:val="20"/>
                <w:szCs w:val="20"/>
                <w:lang w:val="fr-CH"/>
              </w:rPr>
              <w:t>Jusqu’en 2015</w:t>
            </w:r>
          </w:p>
        </w:tc>
      </w:tr>
      <w:tr w:rsidR="006F2361" w:rsidRPr="00EE01B4" w:rsidTr="00D45DDB">
        <w:tc>
          <w:tcPr>
            <w:tcW w:w="3045" w:type="dxa"/>
          </w:tcPr>
          <w:p w:rsidR="006F2361" w:rsidRPr="00EE01B4" w:rsidRDefault="00DF180B" w:rsidP="00D45DDB">
            <w:pPr>
              <w:spacing w:after="40"/>
              <w:rPr>
                <w:sz w:val="20"/>
                <w:szCs w:val="20"/>
                <w:lang w:val="fr-FR"/>
              </w:rPr>
            </w:pPr>
            <w:hyperlink r:id="rId35" w:history="1">
              <w:r w:rsidR="006F2361" w:rsidRPr="00EE01B4">
                <w:rPr>
                  <w:rStyle w:val="Hyperlink"/>
                  <w:sz w:val="20"/>
                  <w:szCs w:val="20"/>
                  <w:lang w:val="fr-FR"/>
                </w:rPr>
                <w:t>Résolution XI.7 : Le tourisme, les loisirs et les zones humides</w:t>
              </w:r>
            </w:hyperlink>
          </w:p>
        </w:tc>
        <w:tc>
          <w:tcPr>
            <w:tcW w:w="2167" w:type="dxa"/>
          </w:tcPr>
          <w:p w:rsidR="006F2361" w:rsidRPr="00EE01B4" w:rsidRDefault="006F2361" w:rsidP="00D45DDB">
            <w:pPr>
              <w:rPr>
                <w:rFonts w:cs="Arial"/>
                <w:sz w:val="20"/>
                <w:szCs w:val="20"/>
                <w:lang w:val="fr-FR"/>
              </w:rPr>
            </w:pPr>
            <w:r w:rsidRPr="00EE01B4">
              <w:rPr>
                <w:rFonts w:cs="Arial"/>
                <w:sz w:val="20"/>
                <w:szCs w:val="20"/>
                <w:lang w:val="fr-FR"/>
              </w:rPr>
              <w:t>Technique</w:t>
            </w:r>
          </w:p>
        </w:tc>
        <w:tc>
          <w:tcPr>
            <w:tcW w:w="2621" w:type="dxa"/>
          </w:tcPr>
          <w:p w:rsidR="006F2361" w:rsidRPr="00EE01B4" w:rsidRDefault="006F2361" w:rsidP="00D45DDB">
            <w:pPr>
              <w:rPr>
                <w:rFonts w:cs="Arial"/>
                <w:sz w:val="20"/>
                <w:szCs w:val="20"/>
                <w:lang w:val="fr-FR"/>
              </w:rPr>
            </w:pPr>
            <w:r w:rsidRPr="00EE01B4">
              <w:rPr>
                <w:rFonts w:cs="Arial"/>
                <w:sz w:val="20"/>
                <w:szCs w:val="20"/>
                <w:lang w:val="fr-FR"/>
              </w:rPr>
              <w:t>Praticiens, décideurs</w:t>
            </w:r>
          </w:p>
        </w:tc>
        <w:tc>
          <w:tcPr>
            <w:tcW w:w="1258" w:type="dxa"/>
          </w:tcPr>
          <w:p w:rsidR="006F2361" w:rsidRPr="00EE01B4" w:rsidRDefault="006F2361" w:rsidP="00D45DDB">
            <w:pPr>
              <w:rPr>
                <w:rFonts w:cs="Arial"/>
                <w:sz w:val="20"/>
                <w:szCs w:val="20"/>
                <w:lang w:val="fr-FR"/>
              </w:rPr>
            </w:pPr>
            <w:r w:rsidRPr="00EE01B4">
              <w:rPr>
                <w:sz w:val="20"/>
                <w:szCs w:val="20"/>
                <w:lang w:val="fr-FR"/>
              </w:rPr>
              <w:t>Pas encore inclus dans un Manuel</w:t>
            </w:r>
          </w:p>
        </w:tc>
        <w:tc>
          <w:tcPr>
            <w:tcW w:w="1258" w:type="dxa"/>
          </w:tcPr>
          <w:p w:rsidR="006F2361" w:rsidRPr="00EE01B4" w:rsidRDefault="006F2361" w:rsidP="00D45DDB">
            <w:pPr>
              <w:spacing w:after="40"/>
              <w:rPr>
                <w:sz w:val="20"/>
                <w:szCs w:val="20"/>
                <w:lang w:val="fr-FR"/>
              </w:rPr>
            </w:pPr>
            <w:r w:rsidRPr="00EE01B4">
              <w:rPr>
                <w:sz w:val="20"/>
                <w:szCs w:val="20"/>
                <w:lang w:val="fr-FR"/>
              </w:rPr>
              <w:t>EFS</w:t>
            </w:r>
          </w:p>
        </w:tc>
        <w:tc>
          <w:tcPr>
            <w:tcW w:w="5265" w:type="dxa"/>
          </w:tcPr>
          <w:p w:rsidR="006F2361" w:rsidRPr="00EE01B4" w:rsidRDefault="006F2361" w:rsidP="00D45DDB">
            <w:pPr>
              <w:spacing w:after="40"/>
              <w:rPr>
                <w:sz w:val="20"/>
                <w:szCs w:val="20"/>
                <w:lang w:val="fr-FR"/>
              </w:rPr>
            </w:pPr>
          </w:p>
        </w:tc>
      </w:tr>
      <w:tr w:rsidR="006F2361" w:rsidRPr="00EE01B4" w:rsidTr="00D45DDB">
        <w:tc>
          <w:tcPr>
            <w:tcW w:w="3045" w:type="dxa"/>
          </w:tcPr>
          <w:p w:rsidR="006F2361" w:rsidRPr="00EE01B4" w:rsidRDefault="00DF180B" w:rsidP="00B5352E">
            <w:pPr>
              <w:spacing w:after="40"/>
              <w:rPr>
                <w:sz w:val="20"/>
                <w:szCs w:val="20"/>
                <w:lang w:val="fr-FR"/>
              </w:rPr>
            </w:pPr>
            <w:hyperlink r:id="rId36" w:history="1">
              <w:r w:rsidR="006F2361" w:rsidRPr="00EE01B4">
                <w:rPr>
                  <w:rStyle w:val="Hyperlink"/>
                  <w:sz w:val="20"/>
                  <w:szCs w:val="20"/>
                  <w:lang w:val="fr-FR"/>
                </w:rPr>
                <w:t>Résolution XI.9 : Cadre intégré et lignes directrices pour éviter, atténuer et compenser les pertes en zones humides</w:t>
              </w:r>
            </w:hyperlink>
          </w:p>
        </w:tc>
        <w:tc>
          <w:tcPr>
            <w:tcW w:w="2167" w:type="dxa"/>
          </w:tcPr>
          <w:p w:rsidR="006F2361" w:rsidRPr="00EE01B4" w:rsidRDefault="006F2361" w:rsidP="00813EA9">
            <w:pPr>
              <w:rPr>
                <w:rFonts w:cs="Arial"/>
                <w:sz w:val="20"/>
                <w:szCs w:val="20"/>
                <w:lang w:val="fr-FR"/>
              </w:rPr>
            </w:pPr>
            <w:r w:rsidRPr="00EE01B4">
              <w:rPr>
                <w:rFonts w:cs="Arial"/>
                <w:sz w:val="20"/>
                <w:szCs w:val="20"/>
                <w:lang w:val="fr-FR"/>
              </w:rPr>
              <w:t>Scientifique/ Technique</w:t>
            </w:r>
          </w:p>
        </w:tc>
        <w:tc>
          <w:tcPr>
            <w:tcW w:w="2621" w:type="dxa"/>
          </w:tcPr>
          <w:p w:rsidR="006F2361" w:rsidRPr="00EE01B4" w:rsidRDefault="006F2361" w:rsidP="00B5352E">
            <w:pPr>
              <w:rPr>
                <w:rFonts w:cs="Arial"/>
                <w:sz w:val="20"/>
                <w:szCs w:val="20"/>
                <w:lang w:val="fr-FR"/>
              </w:rPr>
            </w:pPr>
            <w:r w:rsidRPr="00EE01B4">
              <w:rPr>
                <w:rFonts w:cs="Arial"/>
                <w:sz w:val="20"/>
                <w:szCs w:val="20"/>
                <w:lang w:val="fr-FR"/>
              </w:rPr>
              <w:t>Scientifique, décideurs, praticiens</w:t>
            </w:r>
          </w:p>
        </w:tc>
        <w:tc>
          <w:tcPr>
            <w:tcW w:w="1258" w:type="dxa"/>
          </w:tcPr>
          <w:p w:rsidR="006F2361" w:rsidRPr="00EE01B4" w:rsidRDefault="006F2361" w:rsidP="00B5352E">
            <w:pPr>
              <w:rPr>
                <w:rFonts w:cs="Arial"/>
                <w:sz w:val="20"/>
                <w:szCs w:val="20"/>
                <w:lang w:val="fr-FR"/>
              </w:rPr>
            </w:pPr>
            <w:r w:rsidRPr="00EE01B4">
              <w:rPr>
                <w:sz w:val="20"/>
                <w:szCs w:val="20"/>
                <w:lang w:val="fr-FR"/>
              </w:rPr>
              <w:t>Pas encore inclus dans un Manuel</w:t>
            </w:r>
          </w:p>
        </w:tc>
        <w:tc>
          <w:tcPr>
            <w:tcW w:w="1258" w:type="dxa"/>
          </w:tcPr>
          <w:p w:rsidR="006F2361" w:rsidRPr="00EE01B4" w:rsidRDefault="006F2361" w:rsidP="00B5352E">
            <w:pPr>
              <w:spacing w:after="40"/>
              <w:rPr>
                <w:sz w:val="20"/>
                <w:szCs w:val="20"/>
                <w:lang w:val="fr-FR"/>
              </w:rPr>
            </w:pPr>
            <w:r w:rsidRPr="00EE01B4">
              <w:rPr>
                <w:sz w:val="20"/>
                <w:szCs w:val="20"/>
                <w:lang w:val="fr-FR"/>
              </w:rPr>
              <w:t>EFS</w:t>
            </w:r>
          </w:p>
        </w:tc>
        <w:tc>
          <w:tcPr>
            <w:tcW w:w="5265" w:type="dxa"/>
          </w:tcPr>
          <w:p w:rsidR="006F2361" w:rsidRPr="00EE01B4" w:rsidRDefault="006F2361" w:rsidP="00B5352E">
            <w:pPr>
              <w:spacing w:after="40"/>
              <w:rPr>
                <w:sz w:val="20"/>
                <w:szCs w:val="20"/>
                <w:lang w:val="fr-FR"/>
              </w:rPr>
            </w:pPr>
          </w:p>
        </w:tc>
      </w:tr>
      <w:tr w:rsidR="006F2361" w:rsidRPr="00EE01B4" w:rsidTr="00D45DDB">
        <w:tc>
          <w:tcPr>
            <w:tcW w:w="3045" w:type="dxa"/>
          </w:tcPr>
          <w:p w:rsidR="006F2361" w:rsidRPr="00EE01B4" w:rsidRDefault="00DF180B" w:rsidP="00B5352E">
            <w:pPr>
              <w:spacing w:after="40"/>
              <w:rPr>
                <w:sz w:val="20"/>
                <w:szCs w:val="20"/>
                <w:lang w:val="fr-FR"/>
              </w:rPr>
            </w:pPr>
            <w:hyperlink r:id="rId37" w:history="1">
              <w:r w:rsidR="006F2361" w:rsidRPr="00EE01B4">
                <w:rPr>
                  <w:rStyle w:val="Hyperlink"/>
                  <w:sz w:val="20"/>
                  <w:szCs w:val="20"/>
                  <w:lang w:val="fr-FR"/>
                </w:rPr>
                <w:t>Résolution XI.11 : Principes pour la planification et la gestion des zones humides</w:t>
              </w:r>
            </w:hyperlink>
          </w:p>
        </w:tc>
        <w:tc>
          <w:tcPr>
            <w:tcW w:w="2167" w:type="dxa"/>
          </w:tcPr>
          <w:p w:rsidR="006F2361" w:rsidRPr="00EE01B4" w:rsidRDefault="006F2361" w:rsidP="00B5352E">
            <w:pPr>
              <w:rPr>
                <w:rFonts w:cs="Arial"/>
                <w:sz w:val="20"/>
                <w:szCs w:val="20"/>
                <w:lang w:val="fr-FR"/>
              </w:rPr>
            </w:pPr>
            <w:r w:rsidRPr="00EE01B4">
              <w:rPr>
                <w:rFonts w:cs="Arial"/>
                <w:sz w:val="20"/>
                <w:szCs w:val="20"/>
                <w:lang w:val="fr-FR"/>
              </w:rPr>
              <w:t>Technique</w:t>
            </w:r>
          </w:p>
        </w:tc>
        <w:tc>
          <w:tcPr>
            <w:tcW w:w="2621" w:type="dxa"/>
          </w:tcPr>
          <w:p w:rsidR="006F2361" w:rsidRPr="00EE01B4" w:rsidRDefault="006F2361" w:rsidP="00B5352E">
            <w:pPr>
              <w:rPr>
                <w:rFonts w:cs="Arial"/>
                <w:sz w:val="20"/>
                <w:szCs w:val="20"/>
                <w:lang w:val="fr-FR"/>
              </w:rPr>
            </w:pPr>
            <w:r w:rsidRPr="00EE01B4">
              <w:rPr>
                <w:rFonts w:cs="Arial"/>
                <w:sz w:val="20"/>
                <w:szCs w:val="20"/>
                <w:lang w:val="fr-FR"/>
              </w:rPr>
              <w:t>Décideurs, praticiens</w:t>
            </w:r>
          </w:p>
        </w:tc>
        <w:tc>
          <w:tcPr>
            <w:tcW w:w="1258" w:type="dxa"/>
          </w:tcPr>
          <w:p w:rsidR="006F2361" w:rsidRPr="00EE01B4" w:rsidRDefault="006F2361" w:rsidP="00B5352E">
            <w:pPr>
              <w:rPr>
                <w:rFonts w:cs="Arial"/>
                <w:sz w:val="20"/>
                <w:szCs w:val="20"/>
                <w:lang w:val="fr-FR"/>
              </w:rPr>
            </w:pPr>
            <w:r w:rsidRPr="00EE01B4">
              <w:rPr>
                <w:sz w:val="20"/>
                <w:szCs w:val="20"/>
                <w:lang w:val="fr-FR"/>
              </w:rPr>
              <w:t>Pas encore inclus dans un Manuel</w:t>
            </w:r>
          </w:p>
        </w:tc>
        <w:tc>
          <w:tcPr>
            <w:tcW w:w="1258" w:type="dxa"/>
          </w:tcPr>
          <w:p w:rsidR="006F2361" w:rsidRPr="00EE01B4" w:rsidRDefault="006F2361" w:rsidP="00B5352E">
            <w:pPr>
              <w:spacing w:after="40"/>
              <w:rPr>
                <w:sz w:val="20"/>
                <w:szCs w:val="20"/>
                <w:lang w:val="fr-FR"/>
              </w:rPr>
            </w:pPr>
            <w:r w:rsidRPr="00EE01B4">
              <w:rPr>
                <w:sz w:val="20"/>
                <w:szCs w:val="20"/>
                <w:lang w:val="fr-FR"/>
              </w:rPr>
              <w:t>EFS</w:t>
            </w:r>
          </w:p>
        </w:tc>
        <w:tc>
          <w:tcPr>
            <w:tcW w:w="5265" w:type="dxa"/>
          </w:tcPr>
          <w:p w:rsidR="006F2361" w:rsidRPr="00EE01B4" w:rsidRDefault="006F2361" w:rsidP="00B5352E">
            <w:pPr>
              <w:spacing w:after="40"/>
              <w:rPr>
                <w:sz w:val="20"/>
                <w:szCs w:val="20"/>
                <w:lang w:val="fr-FR"/>
              </w:rPr>
            </w:pPr>
          </w:p>
        </w:tc>
      </w:tr>
      <w:tr w:rsidR="006F2361" w:rsidRPr="00EE01B4" w:rsidTr="00D45DDB">
        <w:tc>
          <w:tcPr>
            <w:tcW w:w="3045" w:type="dxa"/>
          </w:tcPr>
          <w:p w:rsidR="006F2361" w:rsidRPr="00EE01B4" w:rsidRDefault="00DF180B" w:rsidP="00B5352E">
            <w:pPr>
              <w:spacing w:after="40"/>
              <w:rPr>
                <w:sz w:val="20"/>
                <w:szCs w:val="20"/>
                <w:lang w:val="fr-FR"/>
              </w:rPr>
            </w:pPr>
            <w:hyperlink r:id="rId38" w:history="1">
              <w:r w:rsidR="006F2361" w:rsidRPr="00EE01B4">
                <w:rPr>
                  <w:rStyle w:val="Hyperlink"/>
                  <w:sz w:val="20"/>
                  <w:szCs w:val="20"/>
                  <w:lang w:val="fr-FR"/>
                </w:rPr>
                <w:t xml:space="preserve">Résolution XI.12 : Les zones humides et la santé : adopter une </w:t>
              </w:r>
              <w:r w:rsidR="006F2361" w:rsidRPr="00EE01B4">
                <w:rPr>
                  <w:rStyle w:val="Hyperlink"/>
                  <w:sz w:val="20"/>
                  <w:szCs w:val="20"/>
                  <w:lang w:val="fr-FR"/>
                </w:rPr>
                <w:lastRenderedPageBreak/>
                <w:t>approche par écosystème</w:t>
              </w:r>
            </w:hyperlink>
          </w:p>
        </w:tc>
        <w:tc>
          <w:tcPr>
            <w:tcW w:w="2167" w:type="dxa"/>
          </w:tcPr>
          <w:p w:rsidR="006F2361" w:rsidRPr="00EE01B4" w:rsidRDefault="006F2361" w:rsidP="00B5352E">
            <w:pPr>
              <w:rPr>
                <w:rFonts w:cs="Arial"/>
                <w:sz w:val="20"/>
                <w:szCs w:val="20"/>
                <w:lang w:val="fr-FR"/>
              </w:rPr>
            </w:pPr>
            <w:r w:rsidRPr="00EE01B4">
              <w:rPr>
                <w:rFonts w:cs="Arial"/>
                <w:sz w:val="20"/>
                <w:szCs w:val="20"/>
                <w:lang w:val="fr-FR"/>
              </w:rPr>
              <w:lastRenderedPageBreak/>
              <w:t>Scientifique/ Technique</w:t>
            </w:r>
          </w:p>
        </w:tc>
        <w:tc>
          <w:tcPr>
            <w:tcW w:w="2621" w:type="dxa"/>
          </w:tcPr>
          <w:p w:rsidR="006F2361" w:rsidRPr="00EE01B4" w:rsidRDefault="006F2361" w:rsidP="00813EA9">
            <w:pPr>
              <w:rPr>
                <w:rFonts w:cs="Arial"/>
                <w:sz w:val="20"/>
                <w:szCs w:val="20"/>
                <w:lang w:val="fr-FR"/>
              </w:rPr>
            </w:pPr>
            <w:r w:rsidRPr="00EE01B4">
              <w:rPr>
                <w:rFonts w:cs="Arial"/>
                <w:sz w:val="20"/>
                <w:szCs w:val="20"/>
                <w:lang w:val="fr-FR"/>
              </w:rPr>
              <w:t>Scientifiques, décideurs, praticiens</w:t>
            </w:r>
          </w:p>
        </w:tc>
        <w:tc>
          <w:tcPr>
            <w:tcW w:w="1258" w:type="dxa"/>
          </w:tcPr>
          <w:p w:rsidR="006F2361" w:rsidRPr="00EE01B4" w:rsidRDefault="006F2361" w:rsidP="00B5352E">
            <w:pPr>
              <w:rPr>
                <w:rFonts w:cs="Arial"/>
                <w:sz w:val="20"/>
                <w:szCs w:val="20"/>
                <w:lang w:val="fr-FR"/>
              </w:rPr>
            </w:pPr>
            <w:r w:rsidRPr="00EE01B4">
              <w:rPr>
                <w:sz w:val="20"/>
                <w:szCs w:val="20"/>
                <w:lang w:val="fr-FR"/>
              </w:rPr>
              <w:t>Pas encore inclus dans un Manuel</w:t>
            </w:r>
          </w:p>
        </w:tc>
        <w:tc>
          <w:tcPr>
            <w:tcW w:w="1258" w:type="dxa"/>
          </w:tcPr>
          <w:p w:rsidR="006F2361" w:rsidRPr="00EE01B4" w:rsidRDefault="006F2361" w:rsidP="00B5352E">
            <w:pPr>
              <w:spacing w:after="40"/>
              <w:rPr>
                <w:sz w:val="20"/>
                <w:szCs w:val="20"/>
                <w:lang w:val="fr-FR"/>
              </w:rPr>
            </w:pPr>
            <w:r w:rsidRPr="00EE01B4">
              <w:rPr>
                <w:sz w:val="20"/>
                <w:szCs w:val="20"/>
                <w:lang w:val="fr-FR"/>
              </w:rPr>
              <w:t>EFS</w:t>
            </w:r>
          </w:p>
        </w:tc>
        <w:tc>
          <w:tcPr>
            <w:tcW w:w="5265" w:type="dxa"/>
          </w:tcPr>
          <w:p w:rsidR="006F2361" w:rsidRPr="00EE01B4" w:rsidRDefault="006F2361" w:rsidP="00B5352E">
            <w:pPr>
              <w:spacing w:after="40"/>
              <w:rPr>
                <w:sz w:val="20"/>
                <w:szCs w:val="20"/>
                <w:lang w:val="fr-FR"/>
              </w:rPr>
            </w:pPr>
          </w:p>
        </w:tc>
      </w:tr>
      <w:tr w:rsidR="006F2361" w:rsidRPr="00EE01B4" w:rsidTr="00D45DDB">
        <w:tc>
          <w:tcPr>
            <w:tcW w:w="3045" w:type="dxa"/>
          </w:tcPr>
          <w:p w:rsidR="006F2361" w:rsidRPr="00EE01B4" w:rsidRDefault="00DF180B" w:rsidP="00B5352E">
            <w:pPr>
              <w:spacing w:after="40"/>
              <w:rPr>
                <w:sz w:val="20"/>
                <w:szCs w:val="20"/>
                <w:lang w:val="fr-FR"/>
              </w:rPr>
            </w:pPr>
            <w:hyperlink r:id="rId39" w:history="1">
              <w:r w:rsidR="006F2361" w:rsidRPr="00EE01B4">
                <w:rPr>
                  <w:rStyle w:val="Hyperlink"/>
                  <w:sz w:val="20"/>
                  <w:szCs w:val="20"/>
                  <w:lang w:val="fr-FR"/>
                </w:rPr>
                <w:t>Résolution XI.13 : Cadre intégré pour lier la conservation et l’utilisation rationnelle des zones humides à l’éradication de la pauvreté</w:t>
              </w:r>
            </w:hyperlink>
          </w:p>
        </w:tc>
        <w:tc>
          <w:tcPr>
            <w:tcW w:w="2167" w:type="dxa"/>
          </w:tcPr>
          <w:p w:rsidR="006F2361" w:rsidRPr="00EE01B4" w:rsidRDefault="006F2361" w:rsidP="00B5352E">
            <w:pPr>
              <w:rPr>
                <w:rFonts w:cs="Arial"/>
                <w:sz w:val="20"/>
                <w:szCs w:val="20"/>
                <w:lang w:val="fr-FR"/>
              </w:rPr>
            </w:pPr>
            <w:r w:rsidRPr="00EE01B4">
              <w:rPr>
                <w:rFonts w:cs="Arial"/>
                <w:sz w:val="20"/>
                <w:szCs w:val="20"/>
                <w:lang w:val="fr-FR"/>
              </w:rPr>
              <w:t>Technique</w:t>
            </w:r>
          </w:p>
        </w:tc>
        <w:tc>
          <w:tcPr>
            <w:tcW w:w="2621" w:type="dxa"/>
          </w:tcPr>
          <w:p w:rsidR="006F2361" w:rsidRPr="00EE01B4" w:rsidRDefault="006F2361" w:rsidP="00B5352E">
            <w:pPr>
              <w:rPr>
                <w:rFonts w:cs="Arial"/>
                <w:sz w:val="20"/>
                <w:szCs w:val="20"/>
                <w:lang w:val="fr-FR"/>
              </w:rPr>
            </w:pPr>
            <w:r w:rsidRPr="00EE01B4">
              <w:rPr>
                <w:rFonts w:cs="Arial"/>
                <w:sz w:val="20"/>
                <w:szCs w:val="20"/>
                <w:lang w:val="fr-FR"/>
              </w:rPr>
              <w:t>Décideurs, praticiens</w:t>
            </w:r>
          </w:p>
        </w:tc>
        <w:tc>
          <w:tcPr>
            <w:tcW w:w="1258" w:type="dxa"/>
          </w:tcPr>
          <w:p w:rsidR="006F2361" w:rsidRPr="00EE01B4" w:rsidRDefault="006F2361" w:rsidP="00B5352E">
            <w:pPr>
              <w:rPr>
                <w:rFonts w:cs="Arial"/>
                <w:sz w:val="20"/>
                <w:szCs w:val="20"/>
                <w:lang w:val="fr-FR"/>
              </w:rPr>
            </w:pPr>
            <w:r w:rsidRPr="00EE01B4">
              <w:rPr>
                <w:sz w:val="20"/>
                <w:szCs w:val="20"/>
                <w:lang w:val="fr-FR"/>
              </w:rPr>
              <w:t>Pas encore inclus dans un Manuel</w:t>
            </w:r>
          </w:p>
        </w:tc>
        <w:tc>
          <w:tcPr>
            <w:tcW w:w="1258" w:type="dxa"/>
          </w:tcPr>
          <w:p w:rsidR="006F2361" w:rsidRPr="00EE01B4" w:rsidRDefault="006F2361" w:rsidP="00B5352E">
            <w:pPr>
              <w:spacing w:after="40"/>
              <w:rPr>
                <w:sz w:val="20"/>
                <w:szCs w:val="20"/>
                <w:lang w:val="fr-FR"/>
              </w:rPr>
            </w:pPr>
            <w:r w:rsidRPr="00EE01B4">
              <w:rPr>
                <w:sz w:val="20"/>
                <w:szCs w:val="20"/>
                <w:lang w:val="fr-FR"/>
              </w:rPr>
              <w:t>EFS</w:t>
            </w:r>
          </w:p>
        </w:tc>
        <w:tc>
          <w:tcPr>
            <w:tcW w:w="5265" w:type="dxa"/>
          </w:tcPr>
          <w:p w:rsidR="006F2361" w:rsidRPr="00EE01B4" w:rsidRDefault="006F2361" w:rsidP="00B5352E">
            <w:pPr>
              <w:spacing w:after="40"/>
              <w:rPr>
                <w:sz w:val="20"/>
                <w:szCs w:val="20"/>
                <w:lang w:val="fr-FR"/>
              </w:rPr>
            </w:pPr>
          </w:p>
        </w:tc>
      </w:tr>
      <w:tr w:rsidR="006F2361" w:rsidRPr="00EE01B4" w:rsidTr="00D45DDB">
        <w:tc>
          <w:tcPr>
            <w:tcW w:w="3045" w:type="dxa"/>
          </w:tcPr>
          <w:p w:rsidR="006F2361" w:rsidRPr="00EE01B4" w:rsidRDefault="00DF180B" w:rsidP="00B5352E">
            <w:pPr>
              <w:spacing w:after="40"/>
              <w:rPr>
                <w:sz w:val="20"/>
                <w:szCs w:val="20"/>
                <w:lang w:val="fr-FR"/>
              </w:rPr>
            </w:pPr>
            <w:hyperlink r:id="rId40" w:history="1">
              <w:r w:rsidR="006F2361" w:rsidRPr="00EE01B4">
                <w:rPr>
                  <w:rStyle w:val="Hyperlink"/>
                  <w:sz w:val="20"/>
                  <w:szCs w:val="20"/>
                  <w:lang w:val="fr-FR"/>
                </w:rPr>
                <w:t>Résolution X.15 : Description des caractéristiques écologiques des zones humides, et besoins et présentation des données pour un inventaire de base : orientations scientifiques et techniques</w:t>
              </w:r>
            </w:hyperlink>
          </w:p>
        </w:tc>
        <w:tc>
          <w:tcPr>
            <w:tcW w:w="2167" w:type="dxa"/>
          </w:tcPr>
          <w:p w:rsidR="006F2361" w:rsidRPr="00EE01B4" w:rsidRDefault="006F2361" w:rsidP="00B5352E">
            <w:pPr>
              <w:rPr>
                <w:rFonts w:cs="Arial"/>
                <w:sz w:val="20"/>
                <w:szCs w:val="20"/>
                <w:lang w:val="fr-FR"/>
              </w:rPr>
            </w:pPr>
            <w:r w:rsidRPr="00EE01B4">
              <w:rPr>
                <w:rFonts w:cs="Arial"/>
                <w:sz w:val="20"/>
                <w:szCs w:val="20"/>
                <w:lang w:val="fr-FR"/>
              </w:rPr>
              <w:t>Scientifique/ Technique</w:t>
            </w:r>
          </w:p>
        </w:tc>
        <w:tc>
          <w:tcPr>
            <w:tcW w:w="2621" w:type="dxa"/>
          </w:tcPr>
          <w:p w:rsidR="006F2361" w:rsidRPr="00EE01B4" w:rsidRDefault="006F2361" w:rsidP="00813EA9">
            <w:pPr>
              <w:rPr>
                <w:rFonts w:cs="Arial"/>
                <w:sz w:val="20"/>
                <w:szCs w:val="20"/>
                <w:lang w:val="fr-FR"/>
              </w:rPr>
            </w:pPr>
            <w:r w:rsidRPr="00EE01B4">
              <w:rPr>
                <w:rFonts w:cs="Arial"/>
                <w:sz w:val="20"/>
                <w:szCs w:val="20"/>
                <w:lang w:val="fr-FR"/>
              </w:rPr>
              <w:t>Scientifiques, praticiens</w:t>
            </w:r>
          </w:p>
        </w:tc>
        <w:tc>
          <w:tcPr>
            <w:tcW w:w="1258" w:type="dxa"/>
          </w:tcPr>
          <w:p w:rsidR="006F2361" w:rsidRPr="00EE01B4" w:rsidRDefault="006F2361" w:rsidP="00B5352E">
            <w:pPr>
              <w:spacing w:after="40"/>
              <w:rPr>
                <w:sz w:val="20"/>
                <w:szCs w:val="20"/>
                <w:lang w:val="fr-FR"/>
              </w:rPr>
            </w:pPr>
            <w:r w:rsidRPr="00EE01B4">
              <w:rPr>
                <w:sz w:val="20"/>
                <w:szCs w:val="20"/>
                <w:lang w:val="fr-FR"/>
              </w:rPr>
              <w:t>13, 15, 14, 18, 19</w:t>
            </w:r>
          </w:p>
          <w:p w:rsidR="006F2361" w:rsidRPr="00EE01B4" w:rsidRDefault="006F2361" w:rsidP="00B5352E">
            <w:pPr>
              <w:rPr>
                <w:rFonts w:cs="Arial"/>
                <w:sz w:val="20"/>
                <w:szCs w:val="20"/>
                <w:lang w:val="fr-FR"/>
              </w:rPr>
            </w:pPr>
          </w:p>
        </w:tc>
        <w:tc>
          <w:tcPr>
            <w:tcW w:w="1258" w:type="dxa"/>
          </w:tcPr>
          <w:p w:rsidR="006F2361" w:rsidRPr="00EE01B4" w:rsidRDefault="006F2361" w:rsidP="00B5352E">
            <w:pPr>
              <w:spacing w:after="40"/>
              <w:rPr>
                <w:sz w:val="20"/>
                <w:szCs w:val="20"/>
                <w:lang w:val="fr-FR"/>
              </w:rPr>
            </w:pPr>
            <w:r w:rsidRPr="00EE01B4">
              <w:rPr>
                <w:sz w:val="20"/>
                <w:szCs w:val="20"/>
                <w:lang w:val="fr-FR"/>
              </w:rPr>
              <w:t>EFS</w:t>
            </w:r>
          </w:p>
        </w:tc>
        <w:tc>
          <w:tcPr>
            <w:tcW w:w="5265" w:type="dxa"/>
          </w:tcPr>
          <w:p w:rsidR="006F2361" w:rsidRPr="00EE01B4" w:rsidRDefault="006F2361" w:rsidP="00B5352E">
            <w:pPr>
              <w:spacing w:after="40"/>
              <w:rPr>
                <w:sz w:val="20"/>
                <w:szCs w:val="20"/>
                <w:lang w:val="fr-FR"/>
              </w:rPr>
            </w:pPr>
          </w:p>
        </w:tc>
      </w:tr>
      <w:tr w:rsidR="006F2361" w:rsidRPr="00EE01B4" w:rsidTr="00B46AE2">
        <w:tc>
          <w:tcPr>
            <w:tcW w:w="3045" w:type="dxa"/>
            <w:shd w:val="clear" w:color="auto" w:fill="auto"/>
          </w:tcPr>
          <w:p w:rsidR="006F2361" w:rsidRPr="00EE01B4" w:rsidRDefault="00DF180B" w:rsidP="00B53874">
            <w:pPr>
              <w:spacing w:after="200" w:line="276" w:lineRule="auto"/>
              <w:rPr>
                <w:sz w:val="20"/>
                <w:szCs w:val="20"/>
                <w:lang w:val="fr-FR"/>
              </w:rPr>
            </w:pPr>
            <w:hyperlink r:id="rId41" w:history="1">
              <w:r w:rsidR="006F2361" w:rsidRPr="00EE01B4">
                <w:rPr>
                  <w:rStyle w:val="Hyperlink"/>
                  <w:sz w:val="20"/>
                  <w:szCs w:val="20"/>
                  <w:lang w:val="fr-FR"/>
                </w:rPr>
                <w:t>Résolution X.16 : Cadre pour les procédures de détection de changements dans les caractéristiques écologiques des zones humides, d’établissement de rapports et de réaction</w:t>
              </w:r>
            </w:hyperlink>
          </w:p>
        </w:tc>
        <w:tc>
          <w:tcPr>
            <w:tcW w:w="2167" w:type="dxa"/>
          </w:tcPr>
          <w:p w:rsidR="006F2361" w:rsidRPr="00EE01B4" w:rsidRDefault="006F2361" w:rsidP="00B5352E">
            <w:pPr>
              <w:rPr>
                <w:rFonts w:cs="Arial"/>
                <w:sz w:val="20"/>
                <w:szCs w:val="20"/>
                <w:lang w:val="fr-FR"/>
              </w:rPr>
            </w:pPr>
            <w:r w:rsidRPr="00EE01B4">
              <w:rPr>
                <w:rFonts w:cs="Arial"/>
                <w:sz w:val="20"/>
                <w:szCs w:val="20"/>
                <w:lang w:val="fr-FR"/>
              </w:rPr>
              <w:t>Scientifique/ Technique</w:t>
            </w:r>
          </w:p>
        </w:tc>
        <w:tc>
          <w:tcPr>
            <w:tcW w:w="2621" w:type="dxa"/>
          </w:tcPr>
          <w:p w:rsidR="006F2361" w:rsidRPr="00EE01B4" w:rsidRDefault="006F2361" w:rsidP="00813EA9">
            <w:pPr>
              <w:rPr>
                <w:rFonts w:cs="Arial"/>
                <w:sz w:val="20"/>
                <w:szCs w:val="20"/>
                <w:lang w:val="fr-FR"/>
              </w:rPr>
            </w:pPr>
            <w:r w:rsidRPr="00EE01B4">
              <w:rPr>
                <w:rFonts w:cs="Arial"/>
                <w:sz w:val="20"/>
                <w:szCs w:val="20"/>
                <w:lang w:val="fr-FR"/>
              </w:rPr>
              <w:t>Praticiens, décideurs</w:t>
            </w:r>
          </w:p>
        </w:tc>
        <w:tc>
          <w:tcPr>
            <w:tcW w:w="1258" w:type="dxa"/>
          </w:tcPr>
          <w:p w:rsidR="006F2361" w:rsidRPr="00EE01B4" w:rsidRDefault="006F2361" w:rsidP="00B5352E">
            <w:pPr>
              <w:rPr>
                <w:rFonts w:cs="Arial"/>
                <w:sz w:val="20"/>
                <w:szCs w:val="20"/>
                <w:lang w:val="fr-FR"/>
              </w:rPr>
            </w:pPr>
            <w:r w:rsidRPr="00EE01B4">
              <w:rPr>
                <w:sz w:val="20"/>
                <w:szCs w:val="20"/>
                <w:lang w:val="fr-FR"/>
              </w:rPr>
              <w:t>13, 14, 16, 19,</w:t>
            </w:r>
          </w:p>
        </w:tc>
        <w:tc>
          <w:tcPr>
            <w:tcW w:w="1258" w:type="dxa"/>
          </w:tcPr>
          <w:p w:rsidR="006F2361" w:rsidRPr="00EE01B4" w:rsidRDefault="006F2361" w:rsidP="00B5352E">
            <w:pPr>
              <w:spacing w:after="40"/>
              <w:rPr>
                <w:sz w:val="20"/>
                <w:szCs w:val="20"/>
                <w:lang w:val="fr-FR"/>
              </w:rPr>
            </w:pPr>
            <w:r w:rsidRPr="00EE01B4">
              <w:rPr>
                <w:sz w:val="20"/>
                <w:szCs w:val="20"/>
                <w:lang w:val="fr-FR"/>
              </w:rPr>
              <w:t>EFS</w:t>
            </w:r>
          </w:p>
        </w:tc>
        <w:tc>
          <w:tcPr>
            <w:tcW w:w="5265" w:type="dxa"/>
          </w:tcPr>
          <w:p w:rsidR="006F2361" w:rsidRPr="00EE01B4" w:rsidRDefault="006F2361" w:rsidP="00B5352E">
            <w:pPr>
              <w:spacing w:after="40"/>
              <w:rPr>
                <w:sz w:val="20"/>
                <w:szCs w:val="20"/>
                <w:lang w:val="fr-FR"/>
              </w:rPr>
            </w:pPr>
          </w:p>
        </w:tc>
      </w:tr>
      <w:tr w:rsidR="006F2361" w:rsidRPr="00EE01B4" w:rsidTr="00B46AE2">
        <w:tc>
          <w:tcPr>
            <w:tcW w:w="3045" w:type="dxa"/>
            <w:shd w:val="clear" w:color="auto" w:fill="auto"/>
          </w:tcPr>
          <w:p w:rsidR="006F2361" w:rsidRPr="00EE01B4" w:rsidRDefault="00DF180B" w:rsidP="00370CAA">
            <w:pPr>
              <w:spacing w:after="40"/>
              <w:rPr>
                <w:sz w:val="20"/>
                <w:szCs w:val="20"/>
                <w:lang w:val="fr-FR"/>
              </w:rPr>
            </w:pPr>
            <w:hyperlink r:id="rId42" w:history="1">
              <w:r w:rsidR="006F2361" w:rsidRPr="00EE01B4">
                <w:rPr>
                  <w:rStyle w:val="Hyperlink"/>
                  <w:sz w:val="20"/>
                  <w:szCs w:val="20"/>
                  <w:lang w:val="fr-FR"/>
                </w:rPr>
                <w:t>Résolution X.17 : Étude d’impact sur l’environnement et évaluation environnementale stratégique : orientations scientifiques et techniques actualisées</w:t>
              </w:r>
            </w:hyperlink>
          </w:p>
        </w:tc>
        <w:tc>
          <w:tcPr>
            <w:tcW w:w="2167" w:type="dxa"/>
          </w:tcPr>
          <w:p w:rsidR="006F2361" w:rsidRPr="00EE01B4" w:rsidRDefault="006F2361" w:rsidP="00B5352E">
            <w:pPr>
              <w:rPr>
                <w:rFonts w:cs="Arial"/>
                <w:sz w:val="20"/>
                <w:szCs w:val="20"/>
                <w:lang w:val="fr-FR"/>
              </w:rPr>
            </w:pPr>
            <w:r w:rsidRPr="00EE01B4">
              <w:rPr>
                <w:rFonts w:cs="Arial"/>
                <w:sz w:val="20"/>
                <w:szCs w:val="20"/>
                <w:lang w:val="fr-FR"/>
              </w:rPr>
              <w:t>Scientifique/ Technique</w:t>
            </w:r>
          </w:p>
        </w:tc>
        <w:tc>
          <w:tcPr>
            <w:tcW w:w="2621" w:type="dxa"/>
          </w:tcPr>
          <w:p w:rsidR="006F2361" w:rsidRPr="00EE01B4" w:rsidRDefault="006F2361" w:rsidP="00B5352E">
            <w:pPr>
              <w:rPr>
                <w:rFonts w:cs="Arial"/>
                <w:sz w:val="20"/>
                <w:szCs w:val="20"/>
                <w:lang w:val="fr-FR"/>
              </w:rPr>
            </w:pPr>
            <w:r w:rsidRPr="00EE01B4">
              <w:rPr>
                <w:rFonts w:cs="Arial"/>
                <w:sz w:val="20"/>
                <w:szCs w:val="20"/>
                <w:lang w:val="fr-FR"/>
              </w:rPr>
              <w:t>Praticiens, décideurs</w:t>
            </w:r>
          </w:p>
        </w:tc>
        <w:tc>
          <w:tcPr>
            <w:tcW w:w="1258" w:type="dxa"/>
          </w:tcPr>
          <w:p w:rsidR="006F2361" w:rsidRPr="00EE01B4" w:rsidRDefault="006F2361" w:rsidP="00B5352E">
            <w:pPr>
              <w:rPr>
                <w:rFonts w:cs="Arial"/>
                <w:sz w:val="20"/>
                <w:szCs w:val="20"/>
                <w:lang w:val="fr-FR"/>
              </w:rPr>
            </w:pPr>
            <w:r w:rsidRPr="00EE01B4">
              <w:rPr>
                <w:rFonts w:cs="Arial"/>
                <w:sz w:val="20"/>
                <w:szCs w:val="20"/>
                <w:lang w:val="fr-FR"/>
              </w:rPr>
              <w:t>16</w:t>
            </w:r>
          </w:p>
        </w:tc>
        <w:tc>
          <w:tcPr>
            <w:tcW w:w="1258" w:type="dxa"/>
          </w:tcPr>
          <w:p w:rsidR="006F2361" w:rsidRPr="00EE01B4" w:rsidRDefault="006F2361" w:rsidP="00B5352E">
            <w:pPr>
              <w:spacing w:after="40"/>
              <w:rPr>
                <w:sz w:val="20"/>
                <w:szCs w:val="20"/>
                <w:lang w:val="fr-FR"/>
              </w:rPr>
            </w:pPr>
            <w:r w:rsidRPr="00EE01B4">
              <w:rPr>
                <w:sz w:val="20"/>
                <w:szCs w:val="20"/>
                <w:lang w:val="fr-FR"/>
              </w:rPr>
              <w:t>EFS</w:t>
            </w:r>
          </w:p>
        </w:tc>
        <w:tc>
          <w:tcPr>
            <w:tcW w:w="5265" w:type="dxa"/>
          </w:tcPr>
          <w:p w:rsidR="006F2361" w:rsidRPr="00EE01B4" w:rsidRDefault="006F2361" w:rsidP="00B5352E">
            <w:pPr>
              <w:spacing w:after="40"/>
              <w:rPr>
                <w:sz w:val="20"/>
                <w:szCs w:val="20"/>
                <w:lang w:val="fr-FR"/>
              </w:rPr>
            </w:pPr>
          </w:p>
        </w:tc>
      </w:tr>
      <w:tr w:rsidR="006F2361" w:rsidRPr="00EE01B4" w:rsidTr="00B46AE2">
        <w:tc>
          <w:tcPr>
            <w:tcW w:w="3045" w:type="dxa"/>
            <w:shd w:val="clear" w:color="auto" w:fill="auto"/>
          </w:tcPr>
          <w:p w:rsidR="006F2361" w:rsidRPr="00EE01B4" w:rsidRDefault="00DF180B" w:rsidP="00B5352E">
            <w:pPr>
              <w:spacing w:after="40"/>
              <w:rPr>
                <w:sz w:val="20"/>
                <w:szCs w:val="20"/>
                <w:lang w:val="fr-FR"/>
              </w:rPr>
            </w:pPr>
            <w:hyperlink r:id="rId43" w:history="1">
              <w:r w:rsidR="006F2361" w:rsidRPr="00EE01B4">
                <w:rPr>
                  <w:rStyle w:val="Hyperlink"/>
                  <w:sz w:val="20"/>
                  <w:szCs w:val="20"/>
                  <w:lang w:val="fr-FR"/>
                </w:rPr>
                <w:t>Résolution X.19 : Les zones humides et la gestion des bassins hydrographiques : orientations scientifiques et techniques regroupées</w:t>
              </w:r>
            </w:hyperlink>
          </w:p>
        </w:tc>
        <w:tc>
          <w:tcPr>
            <w:tcW w:w="2167" w:type="dxa"/>
          </w:tcPr>
          <w:p w:rsidR="006F2361" w:rsidRPr="00EE01B4" w:rsidRDefault="006F2361" w:rsidP="00B5352E">
            <w:pPr>
              <w:rPr>
                <w:rFonts w:cs="Arial"/>
                <w:sz w:val="20"/>
                <w:szCs w:val="20"/>
                <w:lang w:val="fr-FR"/>
              </w:rPr>
            </w:pPr>
            <w:r w:rsidRPr="00EE01B4">
              <w:rPr>
                <w:rFonts w:cs="Arial"/>
                <w:sz w:val="20"/>
                <w:szCs w:val="20"/>
                <w:lang w:val="fr-FR"/>
              </w:rPr>
              <w:t>Scientifique/ Technique</w:t>
            </w:r>
          </w:p>
        </w:tc>
        <w:tc>
          <w:tcPr>
            <w:tcW w:w="2621" w:type="dxa"/>
          </w:tcPr>
          <w:p w:rsidR="006F2361" w:rsidRPr="00EE01B4" w:rsidRDefault="006F2361" w:rsidP="00B5352E">
            <w:pPr>
              <w:rPr>
                <w:rFonts w:cs="Arial"/>
                <w:sz w:val="20"/>
                <w:szCs w:val="20"/>
                <w:lang w:val="fr-FR"/>
              </w:rPr>
            </w:pPr>
            <w:r w:rsidRPr="00EE01B4">
              <w:rPr>
                <w:rFonts w:cs="Arial"/>
                <w:sz w:val="20"/>
                <w:szCs w:val="20"/>
                <w:lang w:val="fr-FR"/>
              </w:rPr>
              <w:t>Décideurs, praticiens</w:t>
            </w:r>
          </w:p>
        </w:tc>
        <w:tc>
          <w:tcPr>
            <w:tcW w:w="1258" w:type="dxa"/>
          </w:tcPr>
          <w:p w:rsidR="006F2361" w:rsidRPr="00EE01B4" w:rsidRDefault="006F2361" w:rsidP="00B5352E">
            <w:pPr>
              <w:rPr>
                <w:rFonts w:cs="Arial"/>
                <w:sz w:val="20"/>
                <w:szCs w:val="20"/>
                <w:lang w:val="fr-FR"/>
              </w:rPr>
            </w:pPr>
            <w:r w:rsidRPr="00EE01B4">
              <w:rPr>
                <w:rFonts w:cs="Arial"/>
                <w:sz w:val="20"/>
                <w:szCs w:val="20"/>
                <w:lang w:val="fr-FR"/>
              </w:rPr>
              <w:t>8, 9</w:t>
            </w:r>
          </w:p>
        </w:tc>
        <w:tc>
          <w:tcPr>
            <w:tcW w:w="1258" w:type="dxa"/>
          </w:tcPr>
          <w:p w:rsidR="006F2361" w:rsidRPr="00EE01B4" w:rsidRDefault="006F2361" w:rsidP="00B5352E">
            <w:pPr>
              <w:spacing w:after="40"/>
              <w:rPr>
                <w:sz w:val="20"/>
                <w:szCs w:val="20"/>
                <w:lang w:val="fr-FR"/>
              </w:rPr>
            </w:pPr>
            <w:r w:rsidRPr="00EE01B4">
              <w:rPr>
                <w:sz w:val="20"/>
                <w:szCs w:val="20"/>
                <w:lang w:val="fr-FR"/>
              </w:rPr>
              <w:t>EFS</w:t>
            </w:r>
          </w:p>
        </w:tc>
        <w:tc>
          <w:tcPr>
            <w:tcW w:w="5265" w:type="dxa"/>
          </w:tcPr>
          <w:p w:rsidR="006F2361" w:rsidRPr="00EE01B4" w:rsidRDefault="006F2361" w:rsidP="00B5352E">
            <w:pPr>
              <w:spacing w:after="40"/>
              <w:rPr>
                <w:sz w:val="20"/>
                <w:szCs w:val="20"/>
                <w:lang w:val="fr-FR"/>
              </w:rPr>
            </w:pPr>
          </w:p>
        </w:tc>
      </w:tr>
      <w:tr w:rsidR="006F2361" w:rsidRPr="00EE01B4" w:rsidTr="00B46AE2">
        <w:tc>
          <w:tcPr>
            <w:tcW w:w="3045" w:type="dxa"/>
            <w:shd w:val="clear" w:color="auto" w:fill="auto"/>
          </w:tcPr>
          <w:p w:rsidR="006F2361" w:rsidRPr="00EE01B4" w:rsidRDefault="00DF180B" w:rsidP="00B5352E">
            <w:pPr>
              <w:spacing w:after="40"/>
              <w:rPr>
                <w:sz w:val="20"/>
                <w:szCs w:val="20"/>
                <w:lang w:val="fr-FR"/>
              </w:rPr>
            </w:pPr>
            <w:hyperlink r:id="rId44" w:history="1">
              <w:r w:rsidR="006F2361" w:rsidRPr="00EE01B4">
                <w:rPr>
                  <w:rStyle w:val="Hyperlink"/>
                  <w:sz w:val="20"/>
                  <w:szCs w:val="20"/>
                  <w:lang w:val="fr-FR"/>
                </w:rPr>
                <w:t>Résolution X.21 : Orientations relatives à la lutte contre la propagation continue de l’influenza aviaire hautement pathogène</w:t>
              </w:r>
            </w:hyperlink>
          </w:p>
        </w:tc>
        <w:tc>
          <w:tcPr>
            <w:tcW w:w="2167" w:type="dxa"/>
          </w:tcPr>
          <w:p w:rsidR="006F2361" w:rsidRPr="00EE01B4" w:rsidRDefault="006F2361" w:rsidP="00B5352E">
            <w:pPr>
              <w:rPr>
                <w:rFonts w:cs="Arial"/>
                <w:sz w:val="20"/>
                <w:szCs w:val="20"/>
                <w:lang w:val="fr-FR"/>
              </w:rPr>
            </w:pPr>
            <w:r w:rsidRPr="00EE01B4">
              <w:rPr>
                <w:rFonts w:cs="Arial"/>
                <w:sz w:val="20"/>
                <w:szCs w:val="20"/>
                <w:lang w:val="fr-FR"/>
              </w:rPr>
              <w:t>Scientifique/ Technique</w:t>
            </w:r>
          </w:p>
        </w:tc>
        <w:tc>
          <w:tcPr>
            <w:tcW w:w="2621" w:type="dxa"/>
          </w:tcPr>
          <w:p w:rsidR="006F2361" w:rsidRPr="00EE01B4" w:rsidRDefault="006F2361" w:rsidP="00B5352E">
            <w:pPr>
              <w:rPr>
                <w:rFonts w:cs="Arial"/>
                <w:sz w:val="20"/>
                <w:szCs w:val="20"/>
                <w:lang w:val="fr-FR"/>
              </w:rPr>
            </w:pPr>
            <w:r w:rsidRPr="00EE01B4">
              <w:rPr>
                <w:rFonts w:cs="Arial"/>
                <w:sz w:val="20"/>
                <w:szCs w:val="20"/>
                <w:lang w:val="fr-FR"/>
              </w:rPr>
              <w:t>Scientifiques</w:t>
            </w:r>
          </w:p>
        </w:tc>
        <w:tc>
          <w:tcPr>
            <w:tcW w:w="1258" w:type="dxa"/>
          </w:tcPr>
          <w:p w:rsidR="006F2361" w:rsidRPr="00EE01B4" w:rsidRDefault="006F2361" w:rsidP="00B5352E">
            <w:pPr>
              <w:rPr>
                <w:rFonts w:cs="Arial"/>
                <w:sz w:val="20"/>
                <w:szCs w:val="20"/>
                <w:lang w:val="fr-FR"/>
              </w:rPr>
            </w:pPr>
            <w:r w:rsidRPr="00EE01B4">
              <w:rPr>
                <w:rFonts w:cs="Arial"/>
                <w:sz w:val="20"/>
                <w:szCs w:val="20"/>
                <w:lang w:val="fr-FR"/>
              </w:rPr>
              <w:t>4, 1</w:t>
            </w:r>
          </w:p>
        </w:tc>
        <w:tc>
          <w:tcPr>
            <w:tcW w:w="1258" w:type="dxa"/>
          </w:tcPr>
          <w:p w:rsidR="006F2361" w:rsidRPr="00EE01B4" w:rsidRDefault="006F2361" w:rsidP="00B5352E">
            <w:pPr>
              <w:spacing w:after="40"/>
              <w:rPr>
                <w:sz w:val="20"/>
                <w:szCs w:val="20"/>
                <w:lang w:val="fr-FR"/>
              </w:rPr>
            </w:pPr>
            <w:r w:rsidRPr="00EE01B4">
              <w:rPr>
                <w:sz w:val="20"/>
                <w:szCs w:val="20"/>
                <w:lang w:val="fr-FR"/>
              </w:rPr>
              <w:t>EFS</w:t>
            </w:r>
          </w:p>
        </w:tc>
        <w:tc>
          <w:tcPr>
            <w:tcW w:w="5265" w:type="dxa"/>
          </w:tcPr>
          <w:p w:rsidR="006F2361" w:rsidRPr="00EE01B4" w:rsidRDefault="006F2361" w:rsidP="00B5352E">
            <w:pPr>
              <w:spacing w:after="40"/>
              <w:rPr>
                <w:sz w:val="20"/>
                <w:szCs w:val="20"/>
                <w:lang w:val="fr-FR"/>
              </w:rPr>
            </w:pPr>
          </w:p>
        </w:tc>
      </w:tr>
      <w:tr w:rsidR="006F2361" w:rsidRPr="00EE01B4" w:rsidTr="00D45DDB">
        <w:tc>
          <w:tcPr>
            <w:tcW w:w="3045" w:type="dxa"/>
          </w:tcPr>
          <w:p w:rsidR="006F2361" w:rsidRPr="00EE01B4" w:rsidRDefault="006F2361" w:rsidP="00EC0FB2">
            <w:pPr>
              <w:rPr>
                <w:rStyle w:val="Hyperlink"/>
                <w:sz w:val="20"/>
                <w:szCs w:val="20"/>
                <w:lang w:val="fr-FR"/>
              </w:rPr>
            </w:pPr>
            <w:r w:rsidRPr="00EE01B4">
              <w:rPr>
                <w:sz w:val="20"/>
                <w:szCs w:val="20"/>
                <w:lang w:val="fr-FR"/>
              </w:rPr>
              <w:fldChar w:fldCharType="begin"/>
            </w:r>
            <w:r w:rsidRPr="00EE01B4">
              <w:rPr>
                <w:sz w:val="20"/>
                <w:szCs w:val="20"/>
                <w:lang w:val="fr-FR"/>
              </w:rPr>
              <w:instrText xml:space="preserve"> HYPERLINK "http://www.ramsar.org/sites/default/files/documents/pdf/guide/guide-groundwater-f.pdf" </w:instrText>
            </w:r>
            <w:r w:rsidRPr="00EE01B4">
              <w:rPr>
                <w:sz w:val="20"/>
                <w:szCs w:val="20"/>
                <w:lang w:val="fr-FR"/>
              </w:rPr>
              <w:fldChar w:fldCharType="separate"/>
            </w:r>
            <w:r w:rsidRPr="00EE01B4">
              <w:rPr>
                <w:rStyle w:val="Hyperlink"/>
                <w:sz w:val="20"/>
                <w:szCs w:val="20"/>
                <w:lang w:val="fr-FR"/>
              </w:rPr>
              <w:t xml:space="preserve">Lignes directrices pour la gestion des eaux souterraines en vue de </w:t>
            </w:r>
            <w:r w:rsidRPr="00EE01B4">
              <w:rPr>
                <w:rStyle w:val="Hyperlink"/>
                <w:sz w:val="20"/>
                <w:szCs w:val="20"/>
                <w:lang w:val="fr-FR"/>
              </w:rPr>
              <w:lastRenderedPageBreak/>
              <w:t>maintenir les caractéristiques</w:t>
            </w:r>
          </w:p>
          <w:p w:rsidR="006F2361" w:rsidRPr="00EE01B4" w:rsidRDefault="006F2361" w:rsidP="00EC0FB2">
            <w:pPr>
              <w:spacing w:after="40"/>
              <w:rPr>
                <w:sz w:val="20"/>
                <w:szCs w:val="20"/>
                <w:lang w:val="fr-FR"/>
              </w:rPr>
            </w:pPr>
            <w:r w:rsidRPr="00EE01B4">
              <w:rPr>
                <w:rStyle w:val="Hyperlink"/>
                <w:sz w:val="20"/>
                <w:szCs w:val="20"/>
                <w:lang w:val="fr-FR"/>
              </w:rPr>
              <w:t>écologiques des zones humides</w:t>
            </w:r>
            <w:r w:rsidRPr="00EE01B4">
              <w:rPr>
                <w:sz w:val="20"/>
                <w:szCs w:val="20"/>
                <w:lang w:val="fr-FR"/>
              </w:rPr>
              <w:fldChar w:fldCharType="end"/>
            </w:r>
          </w:p>
        </w:tc>
        <w:tc>
          <w:tcPr>
            <w:tcW w:w="2167" w:type="dxa"/>
          </w:tcPr>
          <w:p w:rsidR="006F2361" w:rsidRPr="00EE01B4" w:rsidRDefault="006F2361" w:rsidP="00B5352E">
            <w:pPr>
              <w:rPr>
                <w:rFonts w:cs="Arial"/>
                <w:sz w:val="20"/>
                <w:szCs w:val="20"/>
                <w:lang w:val="fr-FR"/>
              </w:rPr>
            </w:pPr>
            <w:r w:rsidRPr="00EE01B4">
              <w:rPr>
                <w:rFonts w:cs="Arial"/>
                <w:sz w:val="20"/>
                <w:szCs w:val="20"/>
                <w:lang w:val="fr-FR"/>
              </w:rPr>
              <w:lastRenderedPageBreak/>
              <w:t>Scientifique/ Technique</w:t>
            </w:r>
          </w:p>
        </w:tc>
        <w:tc>
          <w:tcPr>
            <w:tcW w:w="2621" w:type="dxa"/>
          </w:tcPr>
          <w:p w:rsidR="006F2361" w:rsidRPr="00EE01B4" w:rsidRDefault="006F2361" w:rsidP="00813EA9">
            <w:pPr>
              <w:rPr>
                <w:rFonts w:cs="Arial"/>
                <w:sz w:val="20"/>
                <w:szCs w:val="20"/>
                <w:lang w:val="fr-FR"/>
              </w:rPr>
            </w:pPr>
            <w:r w:rsidRPr="00EE01B4">
              <w:rPr>
                <w:rFonts w:cs="Arial"/>
                <w:sz w:val="20"/>
                <w:szCs w:val="20"/>
                <w:lang w:val="fr-FR"/>
              </w:rPr>
              <w:t>Praticiens, décideurs</w:t>
            </w:r>
          </w:p>
        </w:tc>
        <w:tc>
          <w:tcPr>
            <w:tcW w:w="1258" w:type="dxa"/>
          </w:tcPr>
          <w:p w:rsidR="006F2361" w:rsidRPr="00EE01B4" w:rsidRDefault="006F2361" w:rsidP="00B5352E">
            <w:pPr>
              <w:rPr>
                <w:rFonts w:cs="Arial"/>
                <w:sz w:val="20"/>
                <w:szCs w:val="20"/>
                <w:lang w:val="fr-FR"/>
              </w:rPr>
            </w:pPr>
            <w:r w:rsidRPr="00EE01B4">
              <w:rPr>
                <w:rFonts w:cs="Arial"/>
                <w:sz w:val="20"/>
                <w:szCs w:val="20"/>
                <w:lang w:val="fr-FR"/>
              </w:rPr>
              <w:t>11</w:t>
            </w:r>
          </w:p>
        </w:tc>
        <w:tc>
          <w:tcPr>
            <w:tcW w:w="1258" w:type="dxa"/>
          </w:tcPr>
          <w:p w:rsidR="006F2361" w:rsidRPr="00EE01B4" w:rsidRDefault="006F2361" w:rsidP="00B5352E">
            <w:pPr>
              <w:spacing w:after="40"/>
              <w:rPr>
                <w:sz w:val="20"/>
                <w:szCs w:val="20"/>
                <w:lang w:val="fr-FR"/>
              </w:rPr>
            </w:pPr>
            <w:r w:rsidRPr="00EE01B4">
              <w:rPr>
                <w:sz w:val="20"/>
                <w:szCs w:val="20"/>
                <w:lang w:val="fr-FR"/>
              </w:rPr>
              <w:t>EFS</w:t>
            </w:r>
          </w:p>
        </w:tc>
        <w:tc>
          <w:tcPr>
            <w:tcW w:w="5265" w:type="dxa"/>
          </w:tcPr>
          <w:p w:rsidR="006F2361" w:rsidRPr="00EE01B4" w:rsidRDefault="006F2361" w:rsidP="00B5352E">
            <w:pPr>
              <w:rPr>
                <w:rFonts w:cs="Arial"/>
                <w:sz w:val="20"/>
                <w:szCs w:val="20"/>
                <w:lang w:val="fr-FR"/>
              </w:rPr>
            </w:pPr>
          </w:p>
        </w:tc>
      </w:tr>
      <w:tr w:rsidR="006F2361" w:rsidRPr="00EE01B4" w:rsidTr="00D45DDB">
        <w:tc>
          <w:tcPr>
            <w:tcW w:w="3045" w:type="dxa"/>
          </w:tcPr>
          <w:p w:rsidR="006F2361" w:rsidRPr="00EE01B4" w:rsidRDefault="00DF180B" w:rsidP="00B5352E">
            <w:pPr>
              <w:spacing w:after="40"/>
              <w:rPr>
                <w:sz w:val="20"/>
                <w:szCs w:val="20"/>
                <w:lang w:val="fr-FR"/>
              </w:rPr>
            </w:pPr>
            <w:hyperlink r:id="rId45" w:history="1">
              <w:r w:rsidR="006F2361" w:rsidRPr="00EE01B4">
                <w:rPr>
                  <w:rStyle w:val="Hyperlink"/>
                  <w:sz w:val="20"/>
                  <w:szCs w:val="20"/>
                  <w:lang w:val="fr-FR"/>
                </w:rPr>
                <w:t>Résolution VIII.1 : Lignes directrices relatives à l’attribution et à la gestion de l’eau en vue de maintenir les fonctions écologiques des zones humides</w:t>
              </w:r>
            </w:hyperlink>
          </w:p>
        </w:tc>
        <w:tc>
          <w:tcPr>
            <w:tcW w:w="2167" w:type="dxa"/>
          </w:tcPr>
          <w:p w:rsidR="006F2361" w:rsidRPr="00EE01B4" w:rsidRDefault="006F2361" w:rsidP="00B5352E">
            <w:pPr>
              <w:rPr>
                <w:rFonts w:cs="Arial"/>
                <w:sz w:val="20"/>
                <w:szCs w:val="20"/>
                <w:lang w:val="fr-FR"/>
              </w:rPr>
            </w:pPr>
            <w:r w:rsidRPr="00EE01B4">
              <w:rPr>
                <w:rFonts w:cs="Arial"/>
                <w:sz w:val="20"/>
                <w:szCs w:val="20"/>
                <w:lang w:val="fr-FR"/>
              </w:rPr>
              <w:t>Technique/ Scientifique</w:t>
            </w:r>
          </w:p>
        </w:tc>
        <w:tc>
          <w:tcPr>
            <w:tcW w:w="2621" w:type="dxa"/>
          </w:tcPr>
          <w:p w:rsidR="006F2361" w:rsidRPr="00EE01B4" w:rsidRDefault="006F2361" w:rsidP="00813EA9">
            <w:pPr>
              <w:rPr>
                <w:rFonts w:cs="Arial"/>
                <w:sz w:val="20"/>
                <w:szCs w:val="20"/>
                <w:lang w:val="fr-FR"/>
              </w:rPr>
            </w:pPr>
            <w:r w:rsidRPr="00EE01B4">
              <w:rPr>
                <w:rFonts w:cs="Arial"/>
                <w:sz w:val="20"/>
                <w:szCs w:val="20"/>
                <w:lang w:val="fr-FR"/>
              </w:rPr>
              <w:t>Praticiens, décideurs</w:t>
            </w:r>
          </w:p>
        </w:tc>
        <w:tc>
          <w:tcPr>
            <w:tcW w:w="1258" w:type="dxa"/>
          </w:tcPr>
          <w:p w:rsidR="006F2361" w:rsidRPr="00EE01B4" w:rsidRDefault="006F2361" w:rsidP="00B5352E">
            <w:pPr>
              <w:rPr>
                <w:rFonts w:cs="Arial"/>
                <w:sz w:val="20"/>
                <w:szCs w:val="20"/>
                <w:lang w:val="fr-FR"/>
              </w:rPr>
            </w:pPr>
            <w:r w:rsidRPr="00EE01B4">
              <w:rPr>
                <w:rFonts w:cs="Arial"/>
                <w:sz w:val="20"/>
                <w:szCs w:val="20"/>
                <w:lang w:val="fr-FR"/>
              </w:rPr>
              <w:t>8, 9, 10</w:t>
            </w:r>
          </w:p>
        </w:tc>
        <w:tc>
          <w:tcPr>
            <w:tcW w:w="1258" w:type="dxa"/>
          </w:tcPr>
          <w:p w:rsidR="006F2361" w:rsidRPr="00EE01B4" w:rsidRDefault="006F2361" w:rsidP="00B5352E">
            <w:pPr>
              <w:spacing w:after="40"/>
              <w:rPr>
                <w:sz w:val="20"/>
                <w:szCs w:val="20"/>
                <w:lang w:val="fr-FR"/>
              </w:rPr>
            </w:pPr>
            <w:r w:rsidRPr="00EE01B4">
              <w:rPr>
                <w:sz w:val="20"/>
                <w:szCs w:val="20"/>
                <w:lang w:val="fr-FR"/>
              </w:rPr>
              <w:t>EFS</w:t>
            </w:r>
          </w:p>
        </w:tc>
        <w:tc>
          <w:tcPr>
            <w:tcW w:w="5265" w:type="dxa"/>
          </w:tcPr>
          <w:p w:rsidR="006F2361" w:rsidRPr="00EE01B4" w:rsidRDefault="006F2361" w:rsidP="00B5352E">
            <w:pPr>
              <w:rPr>
                <w:rFonts w:cs="Arial"/>
                <w:sz w:val="20"/>
                <w:szCs w:val="20"/>
                <w:lang w:val="fr-FR"/>
              </w:rPr>
            </w:pPr>
          </w:p>
        </w:tc>
      </w:tr>
      <w:tr w:rsidR="006F2361" w:rsidRPr="00EE01B4" w:rsidTr="00D45DDB">
        <w:tc>
          <w:tcPr>
            <w:tcW w:w="3045" w:type="dxa"/>
          </w:tcPr>
          <w:p w:rsidR="006F2361" w:rsidRPr="00EE01B4" w:rsidRDefault="00DF180B" w:rsidP="00EC0FB2">
            <w:pPr>
              <w:spacing w:after="40"/>
              <w:rPr>
                <w:sz w:val="20"/>
                <w:szCs w:val="20"/>
                <w:lang w:val="fr-FR"/>
              </w:rPr>
            </w:pPr>
            <w:hyperlink r:id="rId46" w:history="1">
              <w:r w:rsidR="006F2361" w:rsidRPr="00EE01B4">
                <w:rPr>
                  <w:rStyle w:val="Hyperlink"/>
                  <w:sz w:val="20"/>
                  <w:szCs w:val="20"/>
                  <w:lang w:val="fr-FR"/>
                </w:rPr>
                <w:t>Résolution VIII.4 : Questions relatives aux zones humides dans la gestion intégrée des zones côtières (GIZC)</w:t>
              </w:r>
            </w:hyperlink>
          </w:p>
        </w:tc>
        <w:tc>
          <w:tcPr>
            <w:tcW w:w="2167" w:type="dxa"/>
          </w:tcPr>
          <w:p w:rsidR="006F2361" w:rsidRPr="00EE01B4" w:rsidRDefault="006F2361" w:rsidP="00B5352E">
            <w:pPr>
              <w:rPr>
                <w:rFonts w:cs="Arial"/>
                <w:sz w:val="20"/>
                <w:szCs w:val="20"/>
                <w:lang w:val="fr-FR"/>
              </w:rPr>
            </w:pPr>
            <w:r w:rsidRPr="00EE01B4">
              <w:rPr>
                <w:rFonts w:cs="Arial"/>
                <w:sz w:val="20"/>
                <w:szCs w:val="20"/>
                <w:lang w:val="fr-FR"/>
              </w:rPr>
              <w:t>Technique</w:t>
            </w:r>
          </w:p>
        </w:tc>
        <w:tc>
          <w:tcPr>
            <w:tcW w:w="2621" w:type="dxa"/>
          </w:tcPr>
          <w:p w:rsidR="006F2361" w:rsidRPr="00EE01B4" w:rsidRDefault="006F2361" w:rsidP="00B5352E">
            <w:pPr>
              <w:rPr>
                <w:rFonts w:cs="Arial"/>
                <w:sz w:val="20"/>
                <w:szCs w:val="20"/>
                <w:lang w:val="fr-FR"/>
              </w:rPr>
            </w:pPr>
            <w:r w:rsidRPr="00EE01B4">
              <w:rPr>
                <w:rFonts w:cs="Arial"/>
                <w:sz w:val="20"/>
                <w:szCs w:val="20"/>
                <w:lang w:val="fr-FR"/>
              </w:rPr>
              <w:t>Décideurs, praticiens</w:t>
            </w:r>
          </w:p>
        </w:tc>
        <w:tc>
          <w:tcPr>
            <w:tcW w:w="1258" w:type="dxa"/>
          </w:tcPr>
          <w:p w:rsidR="006F2361" w:rsidRPr="00EE01B4" w:rsidRDefault="006F2361" w:rsidP="00B5352E">
            <w:pPr>
              <w:rPr>
                <w:rFonts w:cs="Arial"/>
                <w:sz w:val="20"/>
                <w:szCs w:val="20"/>
                <w:lang w:val="fr-FR"/>
              </w:rPr>
            </w:pPr>
            <w:r w:rsidRPr="00EE01B4">
              <w:rPr>
                <w:rFonts w:cs="Arial"/>
                <w:sz w:val="20"/>
                <w:szCs w:val="20"/>
                <w:lang w:val="fr-FR"/>
              </w:rPr>
              <w:t>12</w:t>
            </w:r>
          </w:p>
        </w:tc>
        <w:tc>
          <w:tcPr>
            <w:tcW w:w="1258" w:type="dxa"/>
          </w:tcPr>
          <w:p w:rsidR="006F2361" w:rsidRPr="00EE01B4" w:rsidRDefault="006F2361" w:rsidP="00B5352E">
            <w:pPr>
              <w:spacing w:after="40"/>
              <w:rPr>
                <w:sz w:val="20"/>
                <w:szCs w:val="20"/>
                <w:lang w:val="fr-FR"/>
              </w:rPr>
            </w:pPr>
            <w:r w:rsidRPr="00EE01B4">
              <w:rPr>
                <w:sz w:val="20"/>
                <w:szCs w:val="20"/>
                <w:lang w:val="fr-FR"/>
              </w:rPr>
              <w:t>EFS</w:t>
            </w:r>
          </w:p>
        </w:tc>
        <w:tc>
          <w:tcPr>
            <w:tcW w:w="5265" w:type="dxa"/>
          </w:tcPr>
          <w:p w:rsidR="006F2361" w:rsidRPr="00EE01B4" w:rsidRDefault="006F2361" w:rsidP="00B5352E">
            <w:pPr>
              <w:rPr>
                <w:rFonts w:cs="Arial"/>
                <w:sz w:val="20"/>
                <w:szCs w:val="20"/>
                <w:lang w:val="fr-FR"/>
              </w:rPr>
            </w:pPr>
          </w:p>
        </w:tc>
      </w:tr>
      <w:tr w:rsidR="006F2361" w:rsidRPr="00EE01B4" w:rsidTr="00D45DDB">
        <w:tc>
          <w:tcPr>
            <w:tcW w:w="3045" w:type="dxa"/>
          </w:tcPr>
          <w:p w:rsidR="006F2361" w:rsidRPr="00EE01B4" w:rsidRDefault="00DF180B" w:rsidP="00B5352E">
            <w:pPr>
              <w:spacing w:after="40"/>
              <w:rPr>
                <w:sz w:val="20"/>
                <w:szCs w:val="20"/>
                <w:lang w:val="fr-FR"/>
              </w:rPr>
            </w:pPr>
            <w:hyperlink r:id="rId47" w:history="1">
              <w:r w:rsidR="006F2361" w:rsidRPr="00EE01B4">
                <w:rPr>
                  <w:rStyle w:val="Hyperlink"/>
                  <w:sz w:val="20"/>
                  <w:szCs w:val="20"/>
                  <w:lang w:val="fr-FR"/>
                </w:rPr>
                <w:t>Résolution VIII.14 : Nouvelles Lignes directrices relatives aux plans de gestion des sites Ramsar et autres zones humides</w:t>
              </w:r>
            </w:hyperlink>
          </w:p>
        </w:tc>
        <w:tc>
          <w:tcPr>
            <w:tcW w:w="2167" w:type="dxa"/>
          </w:tcPr>
          <w:p w:rsidR="006F2361" w:rsidRPr="00EE01B4" w:rsidRDefault="006F2361" w:rsidP="00B5352E">
            <w:pPr>
              <w:rPr>
                <w:rFonts w:cs="Arial"/>
                <w:sz w:val="20"/>
                <w:szCs w:val="20"/>
                <w:lang w:val="fr-FR"/>
              </w:rPr>
            </w:pPr>
            <w:r w:rsidRPr="00EE01B4">
              <w:rPr>
                <w:rFonts w:cs="Arial"/>
                <w:sz w:val="20"/>
                <w:szCs w:val="20"/>
                <w:lang w:val="fr-FR"/>
              </w:rPr>
              <w:t>Technique</w:t>
            </w:r>
          </w:p>
        </w:tc>
        <w:tc>
          <w:tcPr>
            <w:tcW w:w="2621" w:type="dxa"/>
          </w:tcPr>
          <w:p w:rsidR="006F2361" w:rsidRPr="00EE01B4" w:rsidRDefault="006F2361" w:rsidP="00B5352E">
            <w:pPr>
              <w:rPr>
                <w:rFonts w:cs="Arial"/>
                <w:sz w:val="20"/>
                <w:szCs w:val="20"/>
                <w:lang w:val="fr-FR"/>
              </w:rPr>
            </w:pPr>
            <w:r w:rsidRPr="00EE01B4">
              <w:rPr>
                <w:rFonts w:cs="Arial"/>
                <w:sz w:val="20"/>
                <w:szCs w:val="20"/>
                <w:lang w:val="fr-FR"/>
              </w:rPr>
              <w:t>Décideurs, praticiens</w:t>
            </w:r>
          </w:p>
        </w:tc>
        <w:tc>
          <w:tcPr>
            <w:tcW w:w="1258" w:type="dxa"/>
          </w:tcPr>
          <w:p w:rsidR="006F2361" w:rsidRPr="00EE01B4" w:rsidRDefault="006F2361" w:rsidP="00B5352E">
            <w:pPr>
              <w:rPr>
                <w:rFonts w:cs="Arial"/>
                <w:sz w:val="20"/>
                <w:szCs w:val="20"/>
                <w:lang w:val="fr-FR"/>
              </w:rPr>
            </w:pPr>
            <w:r w:rsidRPr="00EE01B4">
              <w:rPr>
                <w:rFonts w:cs="Arial"/>
                <w:sz w:val="20"/>
                <w:szCs w:val="20"/>
                <w:lang w:val="fr-FR"/>
              </w:rPr>
              <w:t>18</w:t>
            </w:r>
          </w:p>
        </w:tc>
        <w:tc>
          <w:tcPr>
            <w:tcW w:w="1258" w:type="dxa"/>
          </w:tcPr>
          <w:p w:rsidR="006F2361" w:rsidRPr="00EE01B4" w:rsidRDefault="006F2361" w:rsidP="00B5352E">
            <w:pPr>
              <w:spacing w:after="40"/>
              <w:rPr>
                <w:sz w:val="20"/>
                <w:szCs w:val="20"/>
                <w:lang w:val="fr-FR"/>
              </w:rPr>
            </w:pPr>
            <w:r w:rsidRPr="00EE01B4">
              <w:rPr>
                <w:sz w:val="20"/>
                <w:szCs w:val="20"/>
                <w:lang w:val="fr-FR"/>
              </w:rPr>
              <w:t>EFS</w:t>
            </w:r>
          </w:p>
        </w:tc>
        <w:tc>
          <w:tcPr>
            <w:tcW w:w="5265" w:type="dxa"/>
          </w:tcPr>
          <w:p w:rsidR="006F2361" w:rsidRPr="00EE01B4" w:rsidRDefault="006F2361" w:rsidP="00B5352E">
            <w:pPr>
              <w:rPr>
                <w:rFonts w:cs="Arial"/>
                <w:sz w:val="20"/>
                <w:szCs w:val="20"/>
                <w:lang w:val="fr-FR"/>
              </w:rPr>
            </w:pPr>
          </w:p>
        </w:tc>
      </w:tr>
      <w:tr w:rsidR="006F2361" w:rsidRPr="00EE01B4" w:rsidTr="00D45DDB">
        <w:tc>
          <w:tcPr>
            <w:tcW w:w="3045" w:type="dxa"/>
          </w:tcPr>
          <w:p w:rsidR="006F2361" w:rsidRPr="00EE01B4" w:rsidRDefault="00DF180B" w:rsidP="00EC0FB2">
            <w:pPr>
              <w:spacing w:after="40"/>
              <w:rPr>
                <w:sz w:val="20"/>
                <w:szCs w:val="20"/>
                <w:lang w:val="fr-FR"/>
              </w:rPr>
            </w:pPr>
            <w:hyperlink r:id="rId48" w:history="1">
              <w:r w:rsidR="006F2361" w:rsidRPr="00EE01B4">
                <w:rPr>
                  <w:rStyle w:val="Hyperlink"/>
                  <w:sz w:val="20"/>
                  <w:szCs w:val="20"/>
                  <w:lang w:val="fr-FR"/>
                </w:rPr>
                <w:t>Résolution VIII.16 : Principes et lignes directrices pour la restauration des zones humides</w:t>
              </w:r>
            </w:hyperlink>
          </w:p>
        </w:tc>
        <w:tc>
          <w:tcPr>
            <w:tcW w:w="2167" w:type="dxa"/>
          </w:tcPr>
          <w:p w:rsidR="006F2361" w:rsidRPr="00EE01B4" w:rsidRDefault="006F2361" w:rsidP="00B5352E">
            <w:pPr>
              <w:rPr>
                <w:rFonts w:cs="Arial"/>
                <w:sz w:val="20"/>
                <w:szCs w:val="20"/>
                <w:lang w:val="fr-FR"/>
              </w:rPr>
            </w:pPr>
            <w:r w:rsidRPr="00EE01B4">
              <w:rPr>
                <w:rFonts w:cs="Arial"/>
                <w:sz w:val="20"/>
                <w:szCs w:val="20"/>
                <w:lang w:val="fr-FR"/>
              </w:rPr>
              <w:t>Technique</w:t>
            </w:r>
          </w:p>
        </w:tc>
        <w:tc>
          <w:tcPr>
            <w:tcW w:w="2621" w:type="dxa"/>
          </w:tcPr>
          <w:p w:rsidR="006F2361" w:rsidRPr="00EE01B4" w:rsidRDefault="006F2361" w:rsidP="00B5352E">
            <w:pPr>
              <w:rPr>
                <w:rFonts w:cs="Arial"/>
                <w:sz w:val="20"/>
                <w:szCs w:val="20"/>
                <w:lang w:val="fr-FR"/>
              </w:rPr>
            </w:pPr>
            <w:r w:rsidRPr="00EE01B4">
              <w:rPr>
                <w:rFonts w:cs="Arial"/>
                <w:sz w:val="20"/>
                <w:szCs w:val="20"/>
                <w:lang w:val="fr-FR"/>
              </w:rPr>
              <w:t>Décideurs, praticiens</w:t>
            </w:r>
          </w:p>
        </w:tc>
        <w:tc>
          <w:tcPr>
            <w:tcW w:w="1258" w:type="dxa"/>
          </w:tcPr>
          <w:p w:rsidR="006F2361" w:rsidRPr="00EE01B4" w:rsidRDefault="006F2361" w:rsidP="00B5352E">
            <w:pPr>
              <w:rPr>
                <w:rFonts w:cs="Arial"/>
                <w:sz w:val="20"/>
                <w:szCs w:val="20"/>
                <w:lang w:val="fr-FR"/>
              </w:rPr>
            </w:pPr>
            <w:r w:rsidRPr="00EE01B4">
              <w:rPr>
                <w:rFonts w:cs="Arial"/>
                <w:sz w:val="20"/>
                <w:szCs w:val="20"/>
                <w:lang w:val="fr-FR"/>
              </w:rPr>
              <w:t>19</w:t>
            </w:r>
          </w:p>
        </w:tc>
        <w:tc>
          <w:tcPr>
            <w:tcW w:w="1258" w:type="dxa"/>
          </w:tcPr>
          <w:p w:rsidR="006F2361" w:rsidRPr="00EE01B4" w:rsidRDefault="006F2361" w:rsidP="00B5352E">
            <w:pPr>
              <w:spacing w:after="40"/>
              <w:rPr>
                <w:sz w:val="20"/>
                <w:szCs w:val="20"/>
                <w:lang w:val="fr-FR"/>
              </w:rPr>
            </w:pPr>
            <w:r w:rsidRPr="00EE01B4">
              <w:rPr>
                <w:sz w:val="20"/>
                <w:szCs w:val="20"/>
                <w:lang w:val="fr-FR"/>
              </w:rPr>
              <w:t>EFS</w:t>
            </w:r>
          </w:p>
        </w:tc>
        <w:tc>
          <w:tcPr>
            <w:tcW w:w="5265" w:type="dxa"/>
          </w:tcPr>
          <w:p w:rsidR="006F2361" w:rsidRPr="00EE01B4" w:rsidRDefault="006F2361" w:rsidP="00B5352E">
            <w:pPr>
              <w:rPr>
                <w:rFonts w:cs="Arial"/>
                <w:sz w:val="20"/>
                <w:szCs w:val="20"/>
                <w:lang w:val="fr-FR"/>
              </w:rPr>
            </w:pPr>
          </w:p>
        </w:tc>
      </w:tr>
      <w:tr w:rsidR="006F2361" w:rsidRPr="00EE01B4" w:rsidTr="00D45DDB">
        <w:tc>
          <w:tcPr>
            <w:tcW w:w="3045" w:type="dxa"/>
          </w:tcPr>
          <w:p w:rsidR="006F2361" w:rsidRPr="00EE01B4" w:rsidRDefault="00DF180B" w:rsidP="00EC0FB2">
            <w:pPr>
              <w:spacing w:after="40"/>
              <w:rPr>
                <w:sz w:val="20"/>
                <w:szCs w:val="20"/>
                <w:lang w:val="fr-FR"/>
              </w:rPr>
            </w:pPr>
            <w:hyperlink r:id="rId49" w:history="1">
              <w:r w:rsidR="006F2361" w:rsidRPr="00EE01B4">
                <w:rPr>
                  <w:rStyle w:val="Hyperlink"/>
                  <w:sz w:val="20"/>
                  <w:szCs w:val="20"/>
                  <w:lang w:val="fr-FR"/>
                </w:rPr>
                <w:t>Résolution VIII.17 : Lignes directrices relatives à une action mondiale pour les tourbières</w:t>
              </w:r>
            </w:hyperlink>
          </w:p>
        </w:tc>
        <w:tc>
          <w:tcPr>
            <w:tcW w:w="2167" w:type="dxa"/>
          </w:tcPr>
          <w:p w:rsidR="006F2361" w:rsidRPr="00EE01B4" w:rsidRDefault="006F2361" w:rsidP="00B5352E">
            <w:pPr>
              <w:rPr>
                <w:rFonts w:cs="Arial"/>
                <w:sz w:val="20"/>
                <w:szCs w:val="20"/>
                <w:lang w:val="fr-FR"/>
              </w:rPr>
            </w:pPr>
            <w:r w:rsidRPr="00EE01B4">
              <w:rPr>
                <w:rFonts w:cs="Arial"/>
                <w:sz w:val="20"/>
                <w:szCs w:val="20"/>
                <w:lang w:val="fr-FR"/>
              </w:rPr>
              <w:t>Technique</w:t>
            </w:r>
          </w:p>
        </w:tc>
        <w:tc>
          <w:tcPr>
            <w:tcW w:w="2621" w:type="dxa"/>
          </w:tcPr>
          <w:p w:rsidR="006F2361" w:rsidRPr="00EE01B4" w:rsidRDefault="006F2361" w:rsidP="00B5352E">
            <w:pPr>
              <w:rPr>
                <w:rFonts w:cs="Arial"/>
                <w:sz w:val="20"/>
                <w:szCs w:val="20"/>
                <w:lang w:val="fr-FR"/>
              </w:rPr>
            </w:pPr>
            <w:r w:rsidRPr="00EE01B4">
              <w:rPr>
                <w:rFonts w:cs="Arial"/>
                <w:sz w:val="20"/>
                <w:szCs w:val="20"/>
                <w:lang w:val="fr-FR"/>
              </w:rPr>
              <w:t>Décideurs, praticiens</w:t>
            </w:r>
          </w:p>
        </w:tc>
        <w:tc>
          <w:tcPr>
            <w:tcW w:w="1258" w:type="dxa"/>
          </w:tcPr>
          <w:p w:rsidR="006F2361" w:rsidRPr="00EE01B4" w:rsidRDefault="006F2361" w:rsidP="00B5352E">
            <w:pPr>
              <w:rPr>
                <w:rFonts w:cs="Arial"/>
                <w:sz w:val="20"/>
                <w:szCs w:val="20"/>
                <w:lang w:val="fr-FR"/>
              </w:rPr>
            </w:pPr>
            <w:r w:rsidRPr="00EE01B4">
              <w:rPr>
                <w:rFonts w:cs="Arial"/>
                <w:sz w:val="20"/>
                <w:szCs w:val="20"/>
                <w:lang w:val="fr-FR"/>
              </w:rPr>
              <w:t>15, 18</w:t>
            </w:r>
          </w:p>
        </w:tc>
        <w:tc>
          <w:tcPr>
            <w:tcW w:w="1258" w:type="dxa"/>
          </w:tcPr>
          <w:p w:rsidR="006F2361" w:rsidRPr="00EE01B4" w:rsidRDefault="006F2361" w:rsidP="00B5352E">
            <w:pPr>
              <w:spacing w:after="40"/>
              <w:rPr>
                <w:sz w:val="20"/>
                <w:szCs w:val="20"/>
                <w:lang w:val="fr-FR"/>
              </w:rPr>
            </w:pPr>
            <w:r w:rsidRPr="00EE01B4">
              <w:rPr>
                <w:sz w:val="20"/>
                <w:szCs w:val="20"/>
                <w:lang w:val="fr-FR"/>
              </w:rPr>
              <w:t>EFS</w:t>
            </w:r>
          </w:p>
        </w:tc>
        <w:tc>
          <w:tcPr>
            <w:tcW w:w="5265" w:type="dxa"/>
          </w:tcPr>
          <w:p w:rsidR="006F2361" w:rsidRPr="00EE01B4" w:rsidRDefault="006F2361" w:rsidP="00B5352E">
            <w:pPr>
              <w:rPr>
                <w:rFonts w:cs="Arial"/>
                <w:sz w:val="20"/>
                <w:szCs w:val="20"/>
                <w:lang w:val="fr-FR"/>
              </w:rPr>
            </w:pPr>
          </w:p>
        </w:tc>
      </w:tr>
      <w:tr w:rsidR="006F2361" w:rsidRPr="00EE01B4" w:rsidTr="00D45DDB">
        <w:tc>
          <w:tcPr>
            <w:tcW w:w="3045" w:type="dxa"/>
          </w:tcPr>
          <w:p w:rsidR="006F2361" w:rsidRPr="00EE01B4" w:rsidRDefault="00DF180B" w:rsidP="00EC0FB2">
            <w:pPr>
              <w:spacing w:after="40"/>
              <w:rPr>
                <w:sz w:val="20"/>
                <w:szCs w:val="20"/>
                <w:lang w:val="fr-FR"/>
              </w:rPr>
            </w:pPr>
            <w:hyperlink r:id="rId50" w:history="1">
              <w:r w:rsidR="006F2361" w:rsidRPr="00EE01B4">
                <w:rPr>
                  <w:rStyle w:val="Hyperlink"/>
                  <w:sz w:val="20"/>
                  <w:szCs w:val="20"/>
                  <w:lang w:val="fr-FR"/>
                </w:rPr>
                <w:t>Résolution VIII.20 : Orientations générales pour interpréter « les raisons pressantes d’intérêt national » dans le contexte de l’Article 2.5 de la Convention et envisager une compensation dans le contexte de l’Article 4.2</w:t>
              </w:r>
            </w:hyperlink>
          </w:p>
        </w:tc>
        <w:tc>
          <w:tcPr>
            <w:tcW w:w="2167" w:type="dxa"/>
          </w:tcPr>
          <w:p w:rsidR="006F2361" w:rsidRPr="00EE01B4" w:rsidRDefault="006F2361" w:rsidP="00B5352E">
            <w:pPr>
              <w:rPr>
                <w:rFonts w:cs="Arial"/>
                <w:sz w:val="20"/>
                <w:szCs w:val="20"/>
                <w:lang w:val="fr-FR"/>
              </w:rPr>
            </w:pPr>
            <w:r w:rsidRPr="00EE01B4">
              <w:rPr>
                <w:rFonts w:cs="Arial"/>
                <w:sz w:val="20"/>
                <w:szCs w:val="20"/>
                <w:lang w:val="fr-FR"/>
              </w:rPr>
              <w:t>Technique</w:t>
            </w:r>
          </w:p>
        </w:tc>
        <w:tc>
          <w:tcPr>
            <w:tcW w:w="2621" w:type="dxa"/>
          </w:tcPr>
          <w:p w:rsidR="006F2361" w:rsidRPr="00EE01B4" w:rsidRDefault="006F2361" w:rsidP="00B5352E">
            <w:pPr>
              <w:rPr>
                <w:rFonts w:cs="Arial"/>
                <w:sz w:val="20"/>
                <w:szCs w:val="20"/>
                <w:lang w:val="fr-FR"/>
              </w:rPr>
            </w:pPr>
            <w:r w:rsidRPr="00EE01B4">
              <w:rPr>
                <w:rFonts w:cs="Arial"/>
                <w:sz w:val="20"/>
                <w:szCs w:val="20"/>
                <w:lang w:val="fr-FR"/>
              </w:rPr>
              <w:t>Décideurs</w:t>
            </w:r>
          </w:p>
        </w:tc>
        <w:tc>
          <w:tcPr>
            <w:tcW w:w="1258" w:type="dxa"/>
          </w:tcPr>
          <w:p w:rsidR="006F2361" w:rsidRPr="00EE01B4" w:rsidRDefault="006F2361" w:rsidP="00B5352E">
            <w:pPr>
              <w:rPr>
                <w:rFonts w:cs="Arial"/>
                <w:sz w:val="20"/>
                <w:szCs w:val="20"/>
                <w:lang w:val="fr-FR"/>
              </w:rPr>
            </w:pPr>
            <w:r w:rsidRPr="00EE01B4">
              <w:rPr>
                <w:rFonts w:cs="Arial"/>
                <w:sz w:val="20"/>
                <w:szCs w:val="20"/>
                <w:lang w:val="fr-FR"/>
              </w:rPr>
              <w:t>19</w:t>
            </w:r>
          </w:p>
        </w:tc>
        <w:tc>
          <w:tcPr>
            <w:tcW w:w="1258" w:type="dxa"/>
          </w:tcPr>
          <w:p w:rsidR="006F2361" w:rsidRPr="00EE01B4" w:rsidRDefault="006F2361" w:rsidP="00B5352E">
            <w:pPr>
              <w:spacing w:after="40"/>
              <w:rPr>
                <w:sz w:val="20"/>
                <w:szCs w:val="20"/>
                <w:lang w:val="fr-FR"/>
              </w:rPr>
            </w:pPr>
            <w:r w:rsidRPr="00EE01B4">
              <w:rPr>
                <w:sz w:val="20"/>
                <w:szCs w:val="20"/>
                <w:lang w:val="fr-FR"/>
              </w:rPr>
              <w:t>EFS</w:t>
            </w:r>
          </w:p>
        </w:tc>
        <w:tc>
          <w:tcPr>
            <w:tcW w:w="5265" w:type="dxa"/>
          </w:tcPr>
          <w:p w:rsidR="006F2361" w:rsidRPr="00EE01B4" w:rsidRDefault="006F2361" w:rsidP="00B5352E">
            <w:pPr>
              <w:rPr>
                <w:rFonts w:cs="Arial"/>
                <w:sz w:val="20"/>
                <w:szCs w:val="20"/>
                <w:lang w:val="fr-FR"/>
              </w:rPr>
            </w:pPr>
          </w:p>
        </w:tc>
      </w:tr>
      <w:tr w:rsidR="006F2361" w:rsidRPr="00EE01B4" w:rsidTr="00D45DDB">
        <w:tc>
          <w:tcPr>
            <w:tcW w:w="3045" w:type="dxa"/>
          </w:tcPr>
          <w:p w:rsidR="006F2361" w:rsidRPr="00EE01B4" w:rsidRDefault="00DF180B" w:rsidP="000238D0">
            <w:pPr>
              <w:spacing w:after="40"/>
              <w:rPr>
                <w:sz w:val="20"/>
                <w:szCs w:val="20"/>
                <w:lang w:val="fr-FR"/>
              </w:rPr>
            </w:pPr>
            <w:hyperlink r:id="rId51" w:history="1">
              <w:r w:rsidR="006F2361" w:rsidRPr="00EE01B4">
                <w:rPr>
                  <w:rStyle w:val="Hyperlink"/>
                  <w:sz w:val="20"/>
                  <w:szCs w:val="20"/>
                  <w:lang w:val="fr-FR"/>
                </w:rPr>
                <w:t>Résolution VIII.33 : Orientations pour l’identification, la gestion durable et la désignation de mares temporaires comme zones humides d’importance internationale</w:t>
              </w:r>
            </w:hyperlink>
          </w:p>
        </w:tc>
        <w:tc>
          <w:tcPr>
            <w:tcW w:w="2167" w:type="dxa"/>
          </w:tcPr>
          <w:p w:rsidR="006F2361" w:rsidRPr="00EE01B4" w:rsidRDefault="006F2361" w:rsidP="00B5352E">
            <w:pPr>
              <w:rPr>
                <w:rFonts w:cs="Arial"/>
                <w:sz w:val="20"/>
                <w:szCs w:val="20"/>
                <w:lang w:val="fr-FR"/>
              </w:rPr>
            </w:pPr>
            <w:r w:rsidRPr="00EE01B4">
              <w:rPr>
                <w:rFonts w:cs="Arial"/>
                <w:sz w:val="20"/>
                <w:szCs w:val="20"/>
                <w:lang w:val="fr-FR"/>
              </w:rPr>
              <w:t>Technique</w:t>
            </w:r>
          </w:p>
        </w:tc>
        <w:tc>
          <w:tcPr>
            <w:tcW w:w="2621" w:type="dxa"/>
          </w:tcPr>
          <w:p w:rsidR="006F2361" w:rsidRPr="00EE01B4" w:rsidRDefault="006F2361" w:rsidP="00B5352E">
            <w:pPr>
              <w:rPr>
                <w:rFonts w:cs="Arial"/>
                <w:sz w:val="20"/>
                <w:szCs w:val="20"/>
                <w:lang w:val="fr-FR"/>
              </w:rPr>
            </w:pPr>
            <w:r w:rsidRPr="00EE01B4">
              <w:rPr>
                <w:rFonts w:cs="Arial"/>
                <w:sz w:val="20"/>
                <w:szCs w:val="20"/>
                <w:lang w:val="fr-FR"/>
              </w:rPr>
              <w:t>Praticiens</w:t>
            </w:r>
          </w:p>
        </w:tc>
        <w:tc>
          <w:tcPr>
            <w:tcW w:w="1258" w:type="dxa"/>
          </w:tcPr>
          <w:p w:rsidR="006F2361" w:rsidRPr="00EE01B4" w:rsidRDefault="006F2361" w:rsidP="00B5352E">
            <w:pPr>
              <w:rPr>
                <w:rFonts w:cs="Arial"/>
                <w:sz w:val="20"/>
                <w:szCs w:val="20"/>
                <w:lang w:val="fr-FR"/>
              </w:rPr>
            </w:pPr>
            <w:r w:rsidRPr="00EE01B4">
              <w:rPr>
                <w:rFonts w:cs="Arial"/>
                <w:sz w:val="20"/>
                <w:szCs w:val="20"/>
                <w:lang w:val="fr-FR"/>
              </w:rPr>
              <w:t>17</w:t>
            </w:r>
          </w:p>
        </w:tc>
        <w:tc>
          <w:tcPr>
            <w:tcW w:w="1258" w:type="dxa"/>
          </w:tcPr>
          <w:p w:rsidR="006F2361" w:rsidRPr="00EE01B4" w:rsidRDefault="006F2361" w:rsidP="00B5352E">
            <w:pPr>
              <w:spacing w:after="40"/>
              <w:rPr>
                <w:sz w:val="20"/>
                <w:szCs w:val="20"/>
                <w:lang w:val="fr-FR"/>
              </w:rPr>
            </w:pPr>
            <w:r w:rsidRPr="00EE01B4">
              <w:rPr>
                <w:sz w:val="20"/>
                <w:szCs w:val="20"/>
                <w:lang w:val="fr-FR"/>
              </w:rPr>
              <w:t>EFS</w:t>
            </w:r>
          </w:p>
        </w:tc>
        <w:tc>
          <w:tcPr>
            <w:tcW w:w="5265" w:type="dxa"/>
          </w:tcPr>
          <w:p w:rsidR="006F2361" w:rsidRPr="00EE01B4" w:rsidRDefault="006F2361" w:rsidP="00B5352E">
            <w:pPr>
              <w:rPr>
                <w:rFonts w:cs="Arial"/>
                <w:sz w:val="20"/>
                <w:szCs w:val="20"/>
                <w:lang w:val="fr-FR"/>
              </w:rPr>
            </w:pPr>
          </w:p>
        </w:tc>
      </w:tr>
      <w:tr w:rsidR="006F2361" w:rsidRPr="00EE01B4" w:rsidTr="00D45DDB">
        <w:tc>
          <w:tcPr>
            <w:tcW w:w="3045" w:type="dxa"/>
          </w:tcPr>
          <w:p w:rsidR="006F2361" w:rsidRPr="00EE01B4" w:rsidRDefault="00DF180B" w:rsidP="000238D0">
            <w:pPr>
              <w:spacing w:after="40"/>
              <w:rPr>
                <w:sz w:val="20"/>
                <w:szCs w:val="20"/>
                <w:lang w:val="fr-FR"/>
              </w:rPr>
            </w:pPr>
            <w:hyperlink r:id="rId52" w:history="1">
              <w:r w:rsidR="006F2361" w:rsidRPr="00EE01B4">
                <w:rPr>
                  <w:rStyle w:val="Hyperlink"/>
                  <w:sz w:val="20"/>
                  <w:szCs w:val="20"/>
                  <w:lang w:val="fr-FR"/>
                </w:rPr>
                <w:t xml:space="preserve">Résolution VIII.36 : La gestion environnementale participative (GEP) comme outil de gestion et </w:t>
              </w:r>
              <w:r w:rsidR="006F2361" w:rsidRPr="00EE01B4">
                <w:rPr>
                  <w:rStyle w:val="Hyperlink"/>
                  <w:sz w:val="20"/>
                  <w:szCs w:val="20"/>
                  <w:lang w:val="fr-FR"/>
                </w:rPr>
                <w:lastRenderedPageBreak/>
                <w:t>d’utilisation rationnelle des zones humides</w:t>
              </w:r>
            </w:hyperlink>
          </w:p>
        </w:tc>
        <w:tc>
          <w:tcPr>
            <w:tcW w:w="2167" w:type="dxa"/>
          </w:tcPr>
          <w:p w:rsidR="006F2361" w:rsidRPr="00EE01B4" w:rsidRDefault="006F2361" w:rsidP="00B5352E">
            <w:pPr>
              <w:rPr>
                <w:rFonts w:cs="Arial"/>
                <w:sz w:val="20"/>
                <w:szCs w:val="20"/>
                <w:lang w:val="fr-FR"/>
              </w:rPr>
            </w:pPr>
            <w:r w:rsidRPr="00EE01B4">
              <w:rPr>
                <w:rFonts w:cs="Arial"/>
                <w:sz w:val="20"/>
                <w:szCs w:val="20"/>
                <w:lang w:val="fr-FR"/>
              </w:rPr>
              <w:lastRenderedPageBreak/>
              <w:t>Technique</w:t>
            </w:r>
          </w:p>
        </w:tc>
        <w:tc>
          <w:tcPr>
            <w:tcW w:w="2621" w:type="dxa"/>
          </w:tcPr>
          <w:p w:rsidR="006F2361" w:rsidRPr="00EE01B4" w:rsidRDefault="006F2361" w:rsidP="00B5352E">
            <w:pPr>
              <w:rPr>
                <w:rFonts w:cs="Arial"/>
                <w:sz w:val="20"/>
                <w:szCs w:val="20"/>
                <w:lang w:val="fr-FR"/>
              </w:rPr>
            </w:pPr>
            <w:r w:rsidRPr="00EE01B4">
              <w:rPr>
                <w:rFonts w:cs="Arial"/>
                <w:sz w:val="20"/>
                <w:szCs w:val="20"/>
                <w:lang w:val="fr-FR"/>
              </w:rPr>
              <w:t>Décideurs, praticiens</w:t>
            </w:r>
          </w:p>
        </w:tc>
        <w:tc>
          <w:tcPr>
            <w:tcW w:w="1258" w:type="dxa"/>
          </w:tcPr>
          <w:p w:rsidR="006F2361" w:rsidRPr="00EE01B4" w:rsidRDefault="006F2361" w:rsidP="00B5352E">
            <w:pPr>
              <w:rPr>
                <w:rFonts w:cs="Arial"/>
                <w:sz w:val="20"/>
                <w:szCs w:val="20"/>
                <w:lang w:val="fr-FR"/>
              </w:rPr>
            </w:pPr>
            <w:r w:rsidRPr="00EE01B4">
              <w:rPr>
                <w:rFonts w:cs="Arial"/>
                <w:sz w:val="20"/>
                <w:szCs w:val="20"/>
                <w:lang w:val="fr-FR"/>
              </w:rPr>
              <w:t>7</w:t>
            </w:r>
          </w:p>
        </w:tc>
        <w:tc>
          <w:tcPr>
            <w:tcW w:w="1258" w:type="dxa"/>
          </w:tcPr>
          <w:p w:rsidR="006F2361" w:rsidRPr="00EE01B4" w:rsidRDefault="006F2361" w:rsidP="00B5352E">
            <w:pPr>
              <w:spacing w:after="40"/>
              <w:rPr>
                <w:sz w:val="20"/>
                <w:szCs w:val="20"/>
                <w:lang w:val="fr-FR"/>
              </w:rPr>
            </w:pPr>
            <w:r w:rsidRPr="00EE01B4">
              <w:rPr>
                <w:sz w:val="20"/>
                <w:szCs w:val="20"/>
                <w:lang w:val="fr-FR"/>
              </w:rPr>
              <w:t>EFS</w:t>
            </w:r>
          </w:p>
        </w:tc>
        <w:tc>
          <w:tcPr>
            <w:tcW w:w="5265" w:type="dxa"/>
          </w:tcPr>
          <w:p w:rsidR="006F2361" w:rsidRPr="00EE01B4" w:rsidRDefault="006F2361" w:rsidP="00B5352E">
            <w:pPr>
              <w:rPr>
                <w:rFonts w:cs="Arial"/>
                <w:sz w:val="20"/>
                <w:szCs w:val="20"/>
                <w:lang w:val="fr-FR"/>
              </w:rPr>
            </w:pPr>
          </w:p>
        </w:tc>
      </w:tr>
      <w:tr w:rsidR="006F2361" w:rsidRPr="00EE01B4" w:rsidTr="00D45DDB">
        <w:tc>
          <w:tcPr>
            <w:tcW w:w="3045" w:type="dxa"/>
          </w:tcPr>
          <w:p w:rsidR="006F2361" w:rsidRPr="00EE01B4" w:rsidRDefault="00DF180B" w:rsidP="000238D0">
            <w:pPr>
              <w:spacing w:after="40"/>
              <w:rPr>
                <w:sz w:val="20"/>
                <w:szCs w:val="20"/>
                <w:lang w:val="fr-FR"/>
              </w:rPr>
            </w:pPr>
            <w:hyperlink r:id="rId53" w:history="1">
              <w:r w:rsidR="006F2361" w:rsidRPr="00EE01B4">
                <w:rPr>
                  <w:rStyle w:val="Hyperlink"/>
                  <w:sz w:val="20"/>
                  <w:szCs w:val="20"/>
                  <w:lang w:val="fr-FR"/>
                </w:rPr>
                <w:t>Résolution VII.8 : Lignes directrices pour la mise en œuvre et le renforcement de la participation des communautés locales et des populations autochtones à la gestion des zones humides</w:t>
              </w:r>
            </w:hyperlink>
          </w:p>
        </w:tc>
        <w:tc>
          <w:tcPr>
            <w:tcW w:w="2167" w:type="dxa"/>
          </w:tcPr>
          <w:p w:rsidR="006F2361" w:rsidRPr="00EE01B4" w:rsidRDefault="006F2361" w:rsidP="00B5352E">
            <w:pPr>
              <w:rPr>
                <w:rFonts w:cs="Arial"/>
                <w:sz w:val="20"/>
                <w:szCs w:val="20"/>
                <w:lang w:val="fr-FR"/>
              </w:rPr>
            </w:pPr>
            <w:r w:rsidRPr="00EE01B4">
              <w:rPr>
                <w:rFonts w:cs="Arial"/>
                <w:sz w:val="20"/>
                <w:szCs w:val="20"/>
                <w:lang w:val="fr-FR"/>
              </w:rPr>
              <w:t>Technique</w:t>
            </w:r>
          </w:p>
        </w:tc>
        <w:tc>
          <w:tcPr>
            <w:tcW w:w="2621" w:type="dxa"/>
          </w:tcPr>
          <w:p w:rsidR="006F2361" w:rsidRPr="00EE01B4" w:rsidRDefault="006F2361" w:rsidP="00B5352E">
            <w:pPr>
              <w:rPr>
                <w:rFonts w:cs="Arial"/>
                <w:sz w:val="20"/>
                <w:szCs w:val="20"/>
                <w:lang w:val="fr-FR"/>
              </w:rPr>
            </w:pPr>
            <w:r w:rsidRPr="00EE01B4">
              <w:rPr>
                <w:rFonts w:cs="Arial"/>
                <w:sz w:val="20"/>
                <w:szCs w:val="20"/>
                <w:lang w:val="fr-FR"/>
              </w:rPr>
              <w:t>Décideurs, praticiens</w:t>
            </w:r>
          </w:p>
        </w:tc>
        <w:tc>
          <w:tcPr>
            <w:tcW w:w="1258" w:type="dxa"/>
          </w:tcPr>
          <w:p w:rsidR="006F2361" w:rsidRPr="00EE01B4" w:rsidRDefault="006F2361" w:rsidP="00B5352E">
            <w:pPr>
              <w:rPr>
                <w:rFonts w:cs="Arial"/>
                <w:sz w:val="20"/>
                <w:szCs w:val="20"/>
                <w:lang w:val="fr-FR"/>
              </w:rPr>
            </w:pPr>
            <w:r w:rsidRPr="00EE01B4">
              <w:rPr>
                <w:rFonts w:cs="Arial"/>
                <w:sz w:val="20"/>
                <w:szCs w:val="20"/>
                <w:lang w:val="fr-FR"/>
              </w:rPr>
              <w:t>7</w:t>
            </w:r>
          </w:p>
        </w:tc>
        <w:tc>
          <w:tcPr>
            <w:tcW w:w="1258" w:type="dxa"/>
          </w:tcPr>
          <w:p w:rsidR="006F2361" w:rsidRPr="00EE01B4" w:rsidRDefault="006F2361" w:rsidP="00B5352E">
            <w:pPr>
              <w:spacing w:after="40"/>
              <w:rPr>
                <w:sz w:val="20"/>
                <w:szCs w:val="20"/>
                <w:lang w:val="fr-FR"/>
              </w:rPr>
            </w:pPr>
            <w:r w:rsidRPr="00EE01B4">
              <w:rPr>
                <w:sz w:val="20"/>
                <w:szCs w:val="20"/>
                <w:lang w:val="fr-FR"/>
              </w:rPr>
              <w:t>EFS</w:t>
            </w:r>
          </w:p>
        </w:tc>
        <w:tc>
          <w:tcPr>
            <w:tcW w:w="5265" w:type="dxa"/>
          </w:tcPr>
          <w:p w:rsidR="006F2361" w:rsidRPr="00EE01B4" w:rsidRDefault="006F2361" w:rsidP="00B5352E">
            <w:pPr>
              <w:rPr>
                <w:rFonts w:cs="Arial"/>
                <w:sz w:val="20"/>
                <w:szCs w:val="20"/>
                <w:lang w:val="fr-FR"/>
              </w:rPr>
            </w:pPr>
          </w:p>
        </w:tc>
      </w:tr>
      <w:tr w:rsidR="006F2361" w:rsidRPr="00EE01B4" w:rsidTr="00D45DDB">
        <w:tc>
          <w:tcPr>
            <w:tcW w:w="3045" w:type="dxa"/>
          </w:tcPr>
          <w:p w:rsidR="006F2361" w:rsidRPr="00EE01B4" w:rsidRDefault="00DF180B" w:rsidP="000238D0">
            <w:pPr>
              <w:spacing w:after="40"/>
              <w:rPr>
                <w:sz w:val="20"/>
                <w:szCs w:val="20"/>
                <w:lang w:val="fr-FR"/>
              </w:rPr>
            </w:pPr>
            <w:hyperlink r:id="rId54" w:history="1">
              <w:r w:rsidR="006F2361" w:rsidRPr="00EE01B4">
                <w:rPr>
                  <w:rStyle w:val="Hyperlink"/>
                  <w:sz w:val="20"/>
                  <w:szCs w:val="20"/>
                  <w:lang w:val="fr-FR"/>
                </w:rPr>
                <w:t>Résolution VII.10 : Cadre d’évaluation des risques pour les zones humides</w:t>
              </w:r>
            </w:hyperlink>
          </w:p>
        </w:tc>
        <w:tc>
          <w:tcPr>
            <w:tcW w:w="2167" w:type="dxa"/>
          </w:tcPr>
          <w:p w:rsidR="006F2361" w:rsidRPr="00EE01B4" w:rsidRDefault="006F2361" w:rsidP="00813EA9">
            <w:pPr>
              <w:rPr>
                <w:rFonts w:cs="Arial"/>
                <w:sz w:val="20"/>
                <w:szCs w:val="20"/>
                <w:lang w:val="fr-FR"/>
              </w:rPr>
            </w:pPr>
            <w:r w:rsidRPr="00EE01B4">
              <w:rPr>
                <w:rFonts w:cs="Arial"/>
                <w:sz w:val="20"/>
                <w:szCs w:val="20"/>
                <w:lang w:val="fr-FR"/>
              </w:rPr>
              <w:t>Technique/ Scientifique</w:t>
            </w:r>
          </w:p>
        </w:tc>
        <w:tc>
          <w:tcPr>
            <w:tcW w:w="2621" w:type="dxa"/>
          </w:tcPr>
          <w:p w:rsidR="006F2361" w:rsidRPr="00EE01B4" w:rsidRDefault="006F2361" w:rsidP="00813EA9">
            <w:pPr>
              <w:rPr>
                <w:rFonts w:cs="Arial"/>
                <w:sz w:val="20"/>
                <w:szCs w:val="20"/>
                <w:lang w:val="fr-FR"/>
              </w:rPr>
            </w:pPr>
            <w:r w:rsidRPr="00EE01B4">
              <w:rPr>
                <w:rFonts w:cs="Arial"/>
                <w:sz w:val="20"/>
                <w:szCs w:val="20"/>
                <w:lang w:val="fr-FR"/>
              </w:rPr>
              <w:t>Scientifiques, praticiens</w:t>
            </w:r>
          </w:p>
        </w:tc>
        <w:tc>
          <w:tcPr>
            <w:tcW w:w="1258" w:type="dxa"/>
          </w:tcPr>
          <w:p w:rsidR="006F2361" w:rsidRPr="00EE01B4" w:rsidRDefault="006F2361" w:rsidP="00B5352E">
            <w:pPr>
              <w:rPr>
                <w:rFonts w:cs="Arial"/>
                <w:sz w:val="20"/>
                <w:szCs w:val="20"/>
                <w:lang w:val="fr-FR"/>
              </w:rPr>
            </w:pPr>
            <w:r w:rsidRPr="00EE01B4">
              <w:rPr>
                <w:sz w:val="20"/>
                <w:szCs w:val="20"/>
                <w:lang w:val="fr-FR"/>
              </w:rPr>
              <w:t>18, 13</w:t>
            </w:r>
          </w:p>
        </w:tc>
        <w:tc>
          <w:tcPr>
            <w:tcW w:w="1258" w:type="dxa"/>
          </w:tcPr>
          <w:p w:rsidR="006F2361" w:rsidRPr="00EE01B4" w:rsidRDefault="006F2361" w:rsidP="00B5352E">
            <w:pPr>
              <w:spacing w:after="40"/>
              <w:rPr>
                <w:sz w:val="20"/>
                <w:szCs w:val="20"/>
                <w:lang w:val="fr-FR"/>
              </w:rPr>
            </w:pPr>
            <w:r w:rsidRPr="00EE01B4">
              <w:rPr>
                <w:sz w:val="20"/>
                <w:szCs w:val="20"/>
                <w:lang w:val="fr-FR"/>
              </w:rPr>
              <w:t>EFS</w:t>
            </w:r>
          </w:p>
        </w:tc>
        <w:tc>
          <w:tcPr>
            <w:tcW w:w="5265" w:type="dxa"/>
          </w:tcPr>
          <w:p w:rsidR="006F2361" w:rsidRPr="00EE01B4" w:rsidRDefault="006F2361" w:rsidP="00B5352E">
            <w:pPr>
              <w:rPr>
                <w:rFonts w:cs="Arial"/>
                <w:sz w:val="20"/>
                <w:szCs w:val="20"/>
                <w:lang w:val="fr-FR"/>
              </w:rPr>
            </w:pPr>
          </w:p>
        </w:tc>
      </w:tr>
      <w:tr w:rsidR="006F2361" w:rsidRPr="00EE01B4" w:rsidTr="00D45DDB">
        <w:tc>
          <w:tcPr>
            <w:tcW w:w="3045" w:type="dxa"/>
          </w:tcPr>
          <w:p w:rsidR="006F2361" w:rsidRPr="00EE01B4" w:rsidRDefault="00DF180B" w:rsidP="00DB0A13">
            <w:pPr>
              <w:spacing w:after="40"/>
              <w:rPr>
                <w:rStyle w:val="Hyperlink"/>
                <w:sz w:val="20"/>
                <w:szCs w:val="20"/>
                <w:lang w:val="fr-FR"/>
              </w:rPr>
            </w:pPr>
            <w:hyperlink r:id="rId55" w:history="1">
              <w:r w:rsidR="006F2361" w:rsidRPr="00EE01B4">
                <w:rPr>
                  <w:rStyle w:val="Hyperlink"/>
                  <w:sz w:val="20"/>
                  <w:szCs w:val="20"/>
                  <w:lang w:val="fr-FR"/>
                </w:rPr>
                <w:t>COP12 DOC.20 : Évaluation de l’efficacité de la gestion pour les Sites Ramsar</w:t>
              </w:r>
            </w:hyperlink>
            <w:r w:rsidR="006F2361" w:rsidRPr="00EE01B4">
              <w:rPr>
                <w:rStyle w:val="Hyperlink"/>
                <w:sz w:val="20"/>
                <w:szCs w:val="20"/>
                <w:lang w:val="fr-FR"/>
              </w:rPr>
              <w:t xml:space="preserve"> </w:t>
            </w:r>
          </w:p>
          <w:p w:rsidR="006F2361" w:rsidRPr="00EE01B4" w:rsidRDefault="006F2361" w:rsidP="00DB0A13">
            <w:pPr>
              <w:spacing w:after="40"/>
              <w:rPr>
                <w:sz w:val="20"/>
                <w:szCs w:val="20"/>
                <w:lang w:val="fr-FR"/>
              </w:rPr>
            </w:pPr>
            <w:r w:rsidRPr="00EE01B4">
              <w:rPr>
                <w:rStyle w:val="Hyperlink"/>
                <w:sz w:val="20"/>
                <w:szCs w:val="20"/>
                <w:lang w:val="fr-FR"/>
              </w:rPr>
              <w:t>(</w:t>
            </w:r>
            <w:hyperlink r:id="rId56" w:history="1">
              <w:r w:rsidRPr="00EE01B4">
                <w:rPr>
                  <w:rStyle w:val="Hyperlink"/>
                  <w:sz w:val="20"/>
                  <w:szCs w:val="20"/>
                  <w:lang w:val="fr-FR"/>
                </w:rPr>
                <w:t>Résolution XII.15: Évaluation de l’efficacité de la gestion et de la conservation des Sites Ramsar</w:t>
              </w:r>
            </w:hyperlink>
            <w:r w:rsidRPr="00EE01B4">
              <w:rPr>
                <w:rStyle w:val="Hyperlink"/>
                <w:sz w:val="20"/>
                <w:szCs w:val="20"/>
                <w:lang w:val="fr-FR"/>
              </w:rPr>
              <w:t>)</w:t>
            </w:r>
          </w:p>
        </w:tc>
        <w:tc>
          <w:tcPr>
            <w:tcW w:w="2167" w:type="dxa"/>
          </w:tcPr>
          <w:p w:rsidR="006F2361" w:rsidRPr="00EE01B4" w:rsidRDefault="006F2361" w:rsidP="00B5352E">
            <w:pPr>
              <w:rPr>
                <w:rFonts w:cs="Arial"/>
                <w:sz w:val="20"/>
                <w:szCs w:val="20"/>
                <w:lang w:val="fr-FR"/>
              </w:rPr>
            </w:pPr>
            <w:r w:rsidRPr="00EE01B4">
              <w:rPr>
                <w:rFonts w:cs="Arial"/>
                <w:sz w:val="20"/>
                <w:szCs w:val="20"/>
                <w:lang w:val="fr-FR"/>
              </w:rPr>
              <w:t>Technique</w:t>
            </w:r>
          </w:p>
        </w:tc>
        <w:tc>
          <w:tcPr>
            <w:tcW w:w="2621" w:type="dxa"/>
          </w:tcPr>
          <w:p w:rsidR="006F2361" w:rsidRPr="00EE01B4" w:rsidRDefault="006F2361" w:rsidP="00B5352E">
            <w:pPr>
              <w:rPr>
                <w:rFonts w:cs="Arial"/>
                <w:sz w:val="20"/>
                <w:szCs w:val="20"/>
                <w:lang w:val="fr-FR"/>
              </w:rPr>
            </w:pPr>
            <w:r w:rsidRPr="00EE01B4">
              <w:rPr>
                <w:rFonts w:cs="Arial"/>
                <w:sz w:val="20"/>
                <w:szCs w:val="20"/>
                <w:lang w:val="fr-FR"/>
              </w:rPr>
              <w:t>Praticiens</w:t>
            </w:r>
          </w:p>
        </w:tc>
        <w:tc>
          <w:tcPr>
            <w:tcW w:w="1258" w:type="dxa"/>
          </w:tcPr>
          <w:p w:rsidR="006F2361" w:rsidRPr="00EE01B4" w:rsidRDefault="006F2361" w:rsidP="00B5352E">
            <w:pPr>
              <w:rPr>
                <w:rFonts w:cs="Arial"/>
                <w:sz w:val="20"/>
                <w:szCs w:val="20"/>
                <w:lang w:val="fr-FR"/>
              </w:rPr>
            </w:pPr>
            <w:r w:rsidRPr="00EE01B4">
              <w:rPr>
                <w:sz w:val="20"/>
                <w:szCs w:val="20"/>
                <w:lang w:val="fr-FR"/>
              </w:rPr>
              <w:t>Pas encore inclus dans un Manuel</w:t>
            </w:r>
          </w:p>
        </w:tc>
        <w:tc>
          <w:tcPr>
            <w:tcW w:w="1258" w:type="dxa"/>
          </w:tcPr>
          <w:p w:rsidR="006F2361" w:rsidRPr="00EE01B4" w:rsidRDefault="006F2361" w:rsidP="00B5352E">
            <w:pPr>
              <w:rPr>
                <w:rFonts w:cs="Arial"/>
                <w:sz w:val="20"/>
                <w:szCs w:val="20"/>
                <w:lang w:val="fr-FR"/>
              </w:rPr>
            </w:pPr>
            <w:r w:rsidRPr="00EE01B4">
              <w:rPr>
                <w:rFonts w:cs="Arial"/>
                <w:sz w:val="20"/>
                <w:szCs w:val="20"/>
                <w:lang w:val="fr-FR"/>
              </w:rPr>
              <w:t>EFS</w:t>
            </w:r>
          </w:p>
        </w:tc>
        <w:tc>
          <w:tcPr>
            <w:tcW w:w="5265" w:type="dxa"/>
          </w:tcPr>
          <w:p w:rsidR="006F2361" w:rsidRPr="00EE01B4" w:rsidRDefault="006F2361" w:rsidP="00B46AE2">
            <w:pPr>
              <w:rPr>
                <w:rFonts w:cs="Arial"/>
                <w:sz w:val="20"/>
                <w:szCs w:val="20"/>
                <w:lang w:val="fr-FR"/>
              </w:rPr>
            </w:pPr>
            <w:r w:rsidRPr="00EE01B4">
              <w:rPr>
                <w:rFonts w:cs="Arial"/>
                <w:sz w:val="20"/>
                <w:szCs w:val="20"/>
                <w:u w:val="single"/>
                <w:lang w:val="fr-FR"/>
              </w:rPr>
              <w:t>Résumé</w:t>
            </w:r>
            <w:r w:rsidRPr="00EE01B4">
              <w:rPr>
                <w:rFonts w:cs="Arial"/>
                <w:sz w:val="20"/>
                <w:szCs w:val="20"/>
                <w:lang w:val="fr-FR"/>
              </w:rPr>
              <w:t xml:space="preserve"> : Ce document fournit des informations sur « Les outils d’évaluation de l’efficacité de la gestion des aires protégées (EGAP) » et sur la manière dont les outils EGAP peuvent être utilisés dans les Sites Ramsar. Le document discute aussi des méthodologies EGAP qui conviennent aux Sites Ramsar.   </w:t>
            </w:r>
          </w:p>
        </w:tc>
      </w:tr>
      <w:tr w:rsidR="006F2361" w:rsidRPr="00EE01B4" w:rsidTr="00D45DDB">
        <w:tc>
          <w:tcPr>
            <w:tcW w:w="3045" w:type="dxa"/>
          </w:tcPr>
          <w:p w:rsidR="006F2361" w:rsidRPr="00EE01B4" w:rsidRDefault="00DF180B" w:rsidP="00B5352E">
            <w:pPr>
              <w:spacing w:after="40"/>
              <w:rPr>
                <w:rStyle w:val="Hyperlink"/>
                <w:sz w:val="20"/>
                <w:szCs w:val="20"/>
                <w:lang w:val="en-GB"/>
              </w:rPr>
            </w:pPr>
            <w:hyperlink r:id="rId57" w:history="1">
              <w:r w:rsidR="006F2361" w:rsidRPr="00EE01B4">
                <w:rPr>
                  <w:rStyle w:val="Hyperlink"/>
                  <w:sz w:val="20"/>
                  <w:szCs w:val="20"/>
                  <w:lang w:val="en-GB"/>
                </w:rPr>
                <w:t xml:space="preserve">COP11 DOC. 24 : Limits of Acceptable Change </w:t>
              </w:r>
            </w:hyperlink>
          </w:p>
          <w:p w:rsidR="006F2361" w:rsidRPr="00EE01B4" w:rsidRDefault="006F2361" w:rsidP="00DB0A13">
            <w:pPr>
              <w:spacing w:after="40"/>
              <w:rPr>
                <w:sz w:val="20"/>
                <w:szCs w:val="20"/>
                <w:lang w:val="fr-FR"/>
              </w:rPr>
            </w:pPr>
            <w:r w:rsidRPr="00EE01B4">
              <w:rPr>
                <w:sz w:val="20"/>
                <w:szCs w:val="20"/>
                <w:lang w:val="fr-FR"/>
              </w:rPr>
              <w:t>(</w:t>
            </w:r>
            <w:hyperlink r:id="rId58" w:history="1">
              <w:r w:rsidRPr="00EE01B4">
                <w:rPr>
                  <w:rStyle w:val="Hyperlink"/>
                  <w:sz w:val="20"/>
                  <w:szCs w:val="20"/>
                  <w:lang w:val="fr-FR"/>
                </w:rPr>
                <w:t>Résolution XI.4, État des sites de la Liste de Ramsar des zones humides d'importance internationale</w:t>
              </w:r>
            </w:hyperlink>
            <w:r w:rsidRPr="00EE01B4">
              <w:rPr>
                <w:sz w:val="20"/>
                <w:szCs w:val="20"/>
                <w:lang w:val="fr-FR"/>
              </w:rPr>
              <w:t xml:space="preserve">) </w:t>
            </w:r>
          </w:p>
        </w:tc>
        <w:tc>
          <w:tcPr>
            <w:tcW w:w="2167" w:type="dxa"/>
          </w:tcPr>
          <w:p w:rsidR="006F2361" w:rsidRPr="00EE01B4" w:rsidRDefault="006F2361" w:rsidP="00B5352E">
            <w:pPr>
              <w:rPr>
                <w:rFonts w:cs="Arial"/>
                <w:sz w:val="20"/>
                <w:szCs w:val="20"/>
                <w:lang w:val="fr-FR"/>
              </w:rPr>
            </w:pPr>
            <w:r w:rsidRPr="00EE01B4">
              <w:rPr>
                <w:rFonts w:cs="Arial"/>
                <w:sz w:val="20"/>
                <w:szCs w:val="20"/>
                <w:lang w:val="fr-FR"/>
              </w:rPr>
              <w:t>Technique/ Scientifique</w:t>
            </w:r>
          </w:p>
        </w:tc>
        <w:tc>
          <w:tcPr>
            <w:tcW w:w="2621" w:type="dxa"/>
          </w:tcPr>
          <w:p w:rsidR="006F2361" w:rsidRPr="00EE01B4" w:rsidRDefault="006F2361" w:rsidP="00B5352E">
            <w:pPr>
              <w:rPr>
                <w:rFonts w:cs="Arial"/>
                <w:sz w:val="20"/>
                <w:szCs w:val="20"/>
                <w:lang w:val="fr-FR"/>
              </w:rPr>
            </w:pPr>
            <w:r w:rsidRPr="00EE01B4">
              <w:rPr>
                <w:rFonts w:cs="Arial"/>
                <w:sz w:val="20"/>
                <w:szCs w:val="20"/>
                <w:lang w:val="fr-FR"/>
              </w:rPr>
              <w:t>Praticiens</w:t>
            </w:r>
          </w:p>
        </w:tc>
        <w:tc>
          <w:tcPr>
            <w:tcW w:w="1258" w:type="dxa"/>
          </w:tcPr>
          <w:p w:rsidR="006F2361" w:rsidRPr="00EE01B4" w:rsidRDefault="006F2361" w:rsidP="00B5352E">
            <w:pPr>
              <w:rPr>
                <w:rFonts w:cs="Arial"/>
                <w:sz w:val="20"/>
                <w:szCs w:val="20"/>
                <w:lang w:val="fr-FR"/>
              </w:rPr>
            </w:pPr>
            <w:r w:rsidRPr="00EE01B4">
              <w:rPr>
                <w:sz w:val="20"/>
                <w:szCs w:val="20"/>
                <w:lang w:val="fr-FR"/>
              </w:rPr>
              <w:t>Pas encore inclus dans un Manuel</w:t>
            </w:r>
          </w:p>
        </w:tc>
        <w:tc>
          <w:tcPr>
            <w:tcW w:w="1258" w:type="dxa"/>
          </w:tcPr>
          <w:p w:rsidR="006F2361" w:rsidRPr="00EE01B4" w:rsidRDefault="006F2361" w:rsidP="00B5352E">
            <w:pPr>
              <w:rPr>
                <w:rFonts w:cs="Arial"/>
                <w:sz w:val="20"/>
                <w:szCs w:val="20"/>
                <w:lang w:val="fr-FR"/>
              </w:rPr>
            </w:pPr>
            <w:r w:rsidRPr="00EE01B4">
              <w:rPr>
                <w:rFonts w:cs="Arial"/>
                <w:sz w:val="20"/>
                <w:szCs w:val="20"/>
                <w:lang w:val="fr-FR"/>
              </w:rPr>
              <w:t>E</w:t>
            </w:r>
          </w:p>
          <w:p w:rsidR="006F2361" w:rsidRPr="00EE01B4" w:rsidRDefault="006F2361" w:rsidP="00B5352E">
            <w:pPr>
              <w:rPr>
                <w:rFonts w:cs="Arial"/>
                <w:sz w:val="20"/>
                <w:szCs w:val="20"/>
                <w:lang w:val="fr-FR"/>
              </w:rPr>
            </w:pPr>
          </w:p>
          <w:p w:rsidR="006F2361" w:rsidRPr="00EE01B4" w:rsidRDefault="006F2361" w:rsidP="00B5352E">
            <w:pPr>
              <w:rPr>
                <w:rFonts w:cs="Arial"/>
                <w:sz w:val="20"/>
                <w:szCs w:val="20"/>
                <w:lang w:val="fr-FR"/>
              </w:rPr>
            </w:pPr>
            <w:r w:rsidRPr="00EE01B4">
              <w:rPr>
                <w:rFonts w:cs="Arial"/>
                <w:sz w:val="20"/>
                <w:szCs w:val="20"/>
                <w:lang w:val="fr-FR"/>
              </w:rPr>
              <w:t>EFS</w:t>
            </w:r>
          </w:p>
        </w:tc>
        <w:tc>
          <w:tcPr>
            <w:tcW w:w="5265" w:type="dxa"/>
          </w:tcPr>
          <w:p w:rsidR="006F2361" w:rsidRPr="00EE01B4" w:rsidRDefault="006F2361" w:rsidP="00B14B2F">
            <w:pPr>
              <w:rPr>
                <w:rFonts w:cs="Arial"/>
                <w:sz w:val="20"/>
                <w:szCs w:val="20"/>
                <w:lang w:val="fr-FR"/>
              </w:rPr>
            </w:pPr>
            <w:r w:rsidRPr="00EE01B4">
              <w:rPr>
                <w:rFonts w:cs="Arial"/>
                <w:sz w:val="20"/>
                <w:szCs w:val="20"/>
                <w:u w:val="single"/>
                <w:lang w:val="fr-FR"/>
              </w:rPr>
              <w:t>Résumé</w:t>
            </w:r>
            <w:r w:rsidRPr="00EE01B4">
              <w:rPr>
                <w:rFonts w:cs="Arial"/>
                <w:sz w:val="20"/>
                <w:szCs w:val="20"/>
                <w:lang w:val="fr-FR"/>
              </w:rPr>
              <w:t xml:space="preserve"> : Ce document donne une vue d’ensemble des approches existantes et d’autres considérations concernant la définition et le fonctionnement de concepts et d’approches pour ‘les limites du changement acceptable’ (LCA) qui peuvent être applicables au contexte Ramsar de définition et de détection de changements dans les caractéristiques écologiques des zones humides, conformément à l’article 3.2.   </w:t>
            </w:r>
          </w:p>
        </w:tc>
      </w:tr>
      <w:tr w:rsidR="006F2361" w:rsidRPr="00EE01B4" w:rsidTr="00D45DDB">
        <w:tc>
          <w:tcPr>
            <w:tcW w:w="3045" w:type="dxa"/>
          </w:tcPr>
          <w:p w:rsidR="006F2361" w:rsidRPr="00EE01B4" w:rsidRDefault="00DF180B" w:rsidP="00B5352E">
            <w:pPr>
              <w:spacing w:after="40"/>
              <w:rPr>
                <w:sz w:val="20"/>
                <w:szCs w:val="20"/>
                <w:lang w:val="en-GB"/>
              </w:rPr>
            </w:pPr>
            <w:hyperlink r:id="rId59" w:history="1">
              <w:r w:rsidR="006F2361" w:rsidRPr="00EE01B4">
                <w:rPr>
                  <w:rStyle w:val="Hyperlink"/>
                  <w:sz w:val="20"/>
                  <w:szCs w:val="20"/>
                  <w:lang w:val="en-GB"/>
                </w:rPr>
                <w:t>COP10 DOC. 33 : Enhancing wetland wise use: a guide for capacity development</w:t>
              </w:r>
            </w:hyperlink>
          </w:p>
        </w:tc>
        <w:tc>
          <w:tcPr>
            <w:tcW w:w="2167" w:type="dxa"/>
          </w:tcPr>
          <w:p w:rsidR="006F2361" w:rsidRPr="00EE01B4" w:rsidRDefault="006F2361" w:rsidP="00B5352E">
            <w:pPr>
              <w:rPr>
                <w:rFonts w:cs="Arial"/>
                <w:sz w:val="20"/>
                <w:szCs w:val="20"/>
                <w:lang w:val="fr-FR"/>
              </w:rPr>
            </w:pPr>
            <w:r w:rsidRPr="00EE01B4">
              <w:rPr>
                <w:rFonts w:cs="Arial"/>
                <w:sz w:val="20"/>
                <w:szCs w:val="20"/>
                <w:lang w:val="fr-FR"/>
              </w:rPr>
              <w:t>Technique</w:t>
            </w:r>
          </w:p>
        </w:tc>
        <w:tc>
          <w:tcPr>
            <w:tcW w:w="2621" w:type="dxa"/>
          </w:tcPr>
          <w:p w:rsidR="006F2361" w:rsidRPr="00EE01B4" w:rsidRDefault="006F2361" w:rsidP="00B5352E">
            <w:pPr>
              <w:rPr>
                <w:rFonts w:cs="Arial"/>
                <w:sz w:val="20"/>
                <w:szCs w:val="20"/>
                <w:lang w:val="fr-FR"/>
              </w:rPr>
            </w:pPr>
            <w:r w:rsidRPr="00EE01B4">
              <w:rPr>
                <w:rFonts w:cs="Arial"/>
                <w:sz w:val="20"/>
                <w:szCs w:val="20"/>
                <w:lang w:val="fr-FR"/>
              </w:rPr>
              <w:t>Praticiens, décideurs</w:t>
            </w:r>
          </w:p>
        </w:tc>
        <w:tc>
          <w:tcPr>
            <w:tcW w:w="1258" w:type="dxa"/>
          </w:tcPr>
          <w:p w:rsidR="006F2361" w:rsidRPr="00EE01B4" w:rsidRDefault="006F2361" w:rsidP="00B14B2F">
            <w:pPr>
              <w:rPr>
                <w:rFonts w:cs="Arial"/>
                <w:sz w:val="20"/>
                <w:szCs w:val="20"/>
                <w:lang w:val="fr-FR"/>
              </w:rPr>
            </w:pPr>
            <w:r w:rsidRPr="00EE01B4">
              <w:rPr>
                <w:sz w:val="20"/>
                <w:szCs w:val="20"/>
                <w:lang w:val="fr-FR"/>
              </w:rPr>
              <w:t>Pas encore inclus dans un Manuel</w:t>
            </w:r>
          </w:p>
        </w:tc>
        <w:tc>
          <w:tcPr>
            <w:tcW w:w="1258" w:type="dxa"/>
          </w:tcPr>
          <w:p w:rsidR="006F2361" w:rsidRPr="00EE01B4" w:rsidRDefault="006F2361" w:rsidP="00B5352E">
            <w:pPr>
              <w:rPr>
                <w:rFonts w:cs="Arial"/>
                <w:sz w:val="20"/>
                <w:szCs w:val="20"/>
                <w:lang w:val="fr-FR"/>
              </w:rPr>
            </w:pPr>
            <w:r w:rsidRPr="00EE01B4">
              <w:rPr>
                <w:rFonts w:cs="Arial"/>
                <w:sz w:val="20"/>
                <w:szCs w:val="20"/>
                <w:lang w:val="fr-FR"/>
              </w:rPr>
              <w:t>E</w:t>
            </w:r>
          </w:p>
        </w:tc>
        <w:tc>
          <w:tcPr>
            <w:tcW w:w="5265" w:type="dxa"/>
          </w:tcPr>
          <w:p w:rsidR="006F2361" w:rsidRPr="00EE01B4" w:rsidRDefault="006F2361" w:rsidP="00B14B2F">
            <w:pPr>
              <w:rPr>
                <w:rFonts w:cs="Arial"/>
                <w:sz w:val="20"/>
                <w:szCs w:val="20"/>
                <w:lang w:val="fr-FR"/>
              </w:rPr>
            </w:pPr>
            <w:r w:rsidRPr="00EE01B4">
              <w:rPr>
                <w:rFonts w:cs="Arial"/>
                <w:sz w:val="20"/>
                <w:szCs w:val="20"/>
                <w:u w:val="single"/>
                <w:lang w:val="fr-FR"/>
              </w:rPr>
              <w:t>Résumé</w:t>
            </w:r>
            <w:r w:rsidRPr="00EE01B4">
              <w:rPr>
                <w:rFonts w:cs="Arial"/>
                <w:sz w:val="20"/>
                <w:szCs w:val="20"/>
                <w:lang w:val="fr-FR"/>
              </w:rPr>
              <w:t xml:space="preserve"> : Ce document présente un guide pour établir des programmes de renforcement des capacités aux niveaux national et régional afin de soutenir la gestion des zones humides. Il apporte aux Parties contractantes à la Convention de Ramsar et, en particulier, aux Autorités administratives Ramsar, une approche par étape pour élaborer et mettre en œuvre les activités de renforcement des capacités en appui à la Convention.   </w:t>
            </w:r>
          </w:p>
        </w:tc>
      </w:tr>
      <w:tr w:rsidR="006F2361" w:rsidRPr="00EE01B4" w:rsidTr="00D45DDB">
        <w:tc>
          <w:tcPr>
            <w:tcW w:w="3045" w:type="dxa"/>
          </w:tcPr>
          <w:p w:rsidR="006F2361" w:rsidRPr="00EE01B4" w:rsidRDefault="00DF180B" w:rsidP="00B14B2F">
            <w:pPr>
              <w:rPr>
                <w:sz w:val="20"/>
                <w:szCs w:val="20"/>
                <w:lang w:val="fr-FR"/>
              </w:rPr>
            </w:pPr>
            <w:hyperlink r:id="rId60" w:history="1">
              <w:r w:rsidR="006F2361" w:rsidRPr="00EE01B4">
                <w:rPr>
                  <w:rStyle w:val="Hyperlink"/>
                  <w:sz w:val="20"/>
                  <w:szCs w:val="20"/>
                  <w:lang w:val="en-GB"/>
                </w:rPr>
                <w:t xml:space="preserve">COP10 DOC. </w:t>
              </w:r>
              <w:r w:rsidR="00557A68" w:rsidRPr="00EE01B4">
                <w:rPr>
                  <w:rStyle w:val="Hyperlink"/>
                  <w:sz w:val="20"/>
                  <w:szCs w:val="20"/>
                  <w:lang w:val="en-GB"/>
                </w:rPr>
                <w:t>27:</w:t>
              </w:r>
              <w:r w:rsidR="006F2361" w:rsidRPr="00EE01B4">
                <w:rPr>
                  <w:rStyle w:val="Hyperlink"/>
                  <w:sz w:val="20"/>
                  <w:szCs w:val="20"/>
                  <w:lang w:val="en-GB"/>
                </w:rPr>
                <w:t xml:space="preserve"> Background and rationale to the Framework for processes of detecting, reporting and responding to change in </w:t>
              </w:r>
              <w:r w:rsidR="006F2361" w:rsidRPr="00EE01B4">
                <w:rPr>
                  <w:rStyle w:val="Hyperlink"/>
                  <w:sz w:val="20"/>
                  <w:szCs w:val="20"/>
                  <w:lang w:val="en-GB"/>
                </w:rPr>
                <w:lastRenderedPageBreak/>
                <w:t>wetland ecological character</w:t>
              </w:r>
            </w:hyperlink>
            <w:r w:rsidR="006F2361" w:rsidRPr="00EE01B4">
              <w:rPr>
                <w:sz w:val="20"/>
                <w:szCs w:val="20"/>
                <w:lang w:val="en-GB"/>
              </w:rPr>
              <w:t xml:space="preserve"> (</w:t>
            </w:r>
            <w:proofErr w:type="spellStart"/>
            <w:r>
              <w:fldChar w:fldCharType="begin"/>
            </w:r>
            <w:r w:rsidRPr="00DF180B">
              <w:rPr>
                <w:lang w:val="en-GB"/>
              </w:rPr>
              <w:instrText xml:space="preserve"> HYPERLINK "http://www.ramsar.org/sites/default/files/documents/library/key_res_x_16_f.pdf" </w:instrText>
            </w:r>
            <w:r>
              <w:fldChar w:fldCharType="separate"/>
            </w:r>
            <w:r w:rsidR="006F2361" w:rsidRPr="00EE01B4">
              <w:rPr>
                <w:rStyle w:val="Hyperlink"/>
                <w:sz w:val="20"/>
                <w:szCs w:val="20"/>
                <w:lang w:val="en-GB"/>
              </w:rPr>
              <w:t>Résolution</w:t>
            </w:r>
            <w:proofErr w:type="spellEnd"/>
            <w:r w:rsidR="006F2361" w:rsidRPr="00EE01B4">
              <w:rPr>
                <w:rStyle w:val="Hyperlink"/>
                <w:sz w:val="20"/>
                <w:szCs w:val="20"/>
                <w:lang w:val="en-GB"/>
              </w:rPr>
              <w:t xml:space="preserve"> X.16. </w:t>
            </w:r>
            <w:r w:rsidR="006F2361" w:rsidRPr="00EE01B4">
              <w:rPr>
                <w:rStyle w:val="Hyperlink"/>
                <w:sz w:val="20"/>
                <w:szCs w:val="20"/>
                <w:lang w:val="fr-FR"/>
              </w:rPr>
              <w:t>Cadre pour les procédures de détection de changements dans les caractéristiques écologiques des zones humides, d’établissement de rapports et de réaction</w:t>
            </w:r>
            <w:r>
              <w:rPr>
                <w:rStyle w:val="Hyperlink"/>
                <w:sz w:val="20"/>
                <w:szCs w:val="20"/>
                <w:lang w:val="fr-FR"/>
              </w:rPr>
              <w:fldChar w:fldCharType="end"/>
            </w:r>
            <w:r w:rsidR="006F2361" w:rsidRPr="00EE01B4">
              <w:rPr>
                <w:sz w:val="20"/>
                <w:szCs w:val="20"/>
                <w:lang w:val="fr-FR"/>
              </w:rPr>
              <w:t>)</w:t>
            </w:r>
          </w:p>
        </w:tc>
        <w:tc>
          <w:tcPr>
            <w:tcW w:w="2167" w:type="dxa"/>
          </w:tcPr>
          <w:p w:rsidR="006F2361" w:rsidRPr="00EE01B4" w:rsidRDefault="006F2361" w:rsidP="00B5352E">
            <w:pPr>
              <w:rPr>
                <w:rFonts w:cs="Arial"/>
                <w:sz w:val="20"/>
                <w:szCs w:val="20"/>
                <w:lang w:val="fr-FR"/>
              </w:rPr>
            </w:pPr>
            <w:r w:rsidRPr="00EE01B4">
              <w:rPr>
                <w:rFonts w:cs="Arial"/>
                <w:sz w:val="20"/>
                <w:szCs w:val="20"/>
                <w:lang w:val="fr-FR"/>
              </w:rPr>
              <w:lastRenderedPageBreak/>
              <w:t>Technique</w:t>
            </w:r>
          </w:p>
        </w:tc>
        <w:tc>
          <w:tcPr>
            <w:tcW w:w="2621" w:type="dxa"/>
          </w:tcPr>
          <w:p w:rsidR="006F2361" w:rsidRPr="00EE01B4" w:rsidRDefault="006F2361" w:rsidP="00B5352E">
            <w:pPr>
              <w:rPr>
                <w:rFonts w:cs="Arial"/>
                <w:sz w:val="20"/>
                <w:szCs w:val="20"/>
                <w:lang w:val="fr-FR"/>
              </w:rPr>
            </w:pPr>
            <w:r w:rsidRPr="00EE01B4">
              <w:rPr>
                <w:rFonts w:cs="Arial"/>
                <w:sz w:val="20"/>
                <w:szCs w:val="20"/>
                <w:lang w:val="fr-FR"/>
              </w:rPr>
              <w:t>Praticiens</w:t>
            </w:r>
          </w:p>
        </w:tc>
        <w:tc>
          <w:tcPr>
            <w:tcW w:w="1258" w:type="dxa"/>
          </w:tcPr>
          <w:p w:rsidR="006F2361" w:rsidRPr="00EE01B4" w:rsidRDefault="006F2361" w:rsidP="00B5352E">
            <w:pPr>
              <w:rPr>
                <w:rFonts w:cs="Arial"/>
                <w:sz w:val="20"/>
                <w:szCs w:val="20"/>
                <w:lang w:val="fr-FR"/>
              </w:rPr>
            </w:pPr>
            <w:r w:rsidRPr="00EE01B4">
              <w:rPr>
                <w:rFonts w:cs="Arial"/>
                <w:sz w:val="20"/>
                <w:szCs w:val="20"/>
                <w:lang w:val="fr-FR"/>
              </w:rPr>
              <w:t>19</w:t>
            </w:r>
          </w:p>
        </w:tc>
        <w:tc>
          <w:tcPr>
            <w:tcW w:w="1258" w:type="dxa"/>
          </w:tcPr>
          <w:p w:rsidR="006F2361" w:rsidRPr="00EE01B4" w:rsidRDefault="006F2361" w:rsidP="00B46AE2">
            <w:pPr>
              <w:rPr>
                <w:rFonts w:cs="Arial"/>
                <w:sz w:val="20"/>
                <w:szCs w:val="20"/>
                <w:lang w:val="fr-FR"/>
              </w:rPr>
            </w:pPr>
            <w:r w:rsidRPr="00EE01B4">
              <w:rPr>
                <w:rFonts w:cs="Arial"/>
                <w:sz w:val="20"/>
                <w:szCs w:val="20"/>
                <w:lang w:val="fr-FR"/>
              </w:rPr>
              <w:t xml:space="preserve">E </w:t>
            </w:r>
          </w:p>
          <w:p w:rsidR="006F2361" w:rsidRPr="00EE01B4" w:rsidRDefault="006F2361" w:rsidP="00B46AE2">
            <w:pPr>
              <w:rPr>
                <w:rFonts w:cs="Arial"/>
                <w:sz w:val="20"/>
                <w:szCs w:val="20"/>
                <w:lang w:val="fr-FR"/>
              </w:rPr>
            </w:pPr>
          </w:p>
          <w:p w:rsidR="006F2361" w:rsidRPr="00EE01B4" w:rsidRDefault="006F2361" w:rsidP="00B46AE2">
            <w:pPr>
              <w:rPr>
                <w:rFonts w:cs="Arial"/>
                <w:sz w:val="20"/>
                <w:szCs w:val="20"/>
                <w:lang w:val="fr-FR"/>
              </w:rPr>
            </w:pPr>
          </w:p>
          <w:p w:rsidR="006F2361" w:rsidRPr="00EE01B4" w:rsidRDefault="006F2361" w:rsidP="00B46AE2">
            <w:pPr>
              <w:rPr>
                <w:rFonts w:cs="Arial"/>
                <w:sz w:val="20"/>
                <w:szCs w:val="20"/>
                <w:lang w:val="fr-FR"/>
              </w:rPr>
            </w:pPr>
          </w:p>
          <w:p w:rsidR="006F2361" w:rsidRPr="00EE01B4" w:rsidRDefault="006F2361" w:rsidP="00B46AE2">
            <w:pPr>
              <w:rPr>
                <w:rFonts w:cs="Arial"/>
                <w:sz w:val="20"/>
                <w:szCs w:val="20"/>
                <w:lang w:val="fr-FR"/>
              </w:rPr>
            </w:pPr>
          </w:p>
          <w:p w:rsidR="006F2361" w:rsidRPr="00EE01B4" w:rsidRDefault="006F2361" w:rsidP="00B46AE2">
            <w:pPr>
              <w:rPr>
                <w:rFonts w:cs="Arial"/>
                <w:sz w:val="20"/>
                <w:szCs w:val="20"/>
                <w:lang w:val="fr-FR"/>
              </w:rPr>
            </w:pPr>
          </w:p>
          <w:p w:rsidR="006F2361" w:rsidRPr="00EE01B4" w:rsidRDefault="006F2361" w:rsidP="00B46AE2">
            <w:pPr>
              <w:rPr>
                <w:rFonts w:cs="Arial"/>
                <w:sz w:val="20"/>
                <w:szCs w:val="20"/>
                <w:lang w:val="fr-FR"/>
              </w:rPr>
            </w:pPr>
            <w:r w:rsidRPr="00EE01B4">
              <w:rPr>
                <w:rFonts w:cs="Arial"/>
                <w:sz w:val="20"/>
                <w:szCs w:val="20"/>
                <w:lang w:val="fr-FR"/>
              </w:rPr>
              <w:t>EFS</w:t>
            </w:r>
          </w:p>
        </w:tc>
        <w:tc>
          <w:tcPr>
            <w:tcW w:w="5265" w:type="dxa"/>
          </w:tcPr>
          <w:p w:rsidR="006F2361" w:rsidRPr="00EE01B4" w:rsidRDefault="006F2361" w:rsidP="00B46AE2">
            <w:pPr>
              <w:rPr>
                <w:rFonts w:cs="Arial"/>
                <w:sz w:val="20"/>
                <w:szCs w:val="20"/>
                <w:lang w:val="fr-FR"/>
              </w:rPr>
            </w:pPr>
            <w:r w:rsidRPr="00EE01B4">
              <w:rPr>
                <w:rFonts w:cs="Arial"/>
                <w:sz w:val="20"/>
                <w:szCs w:val="20"/>
                <w:u w:val="single"/>
                <w:lang w:val="fr-FR"/>
              </w:rPr>
              <w:lastRenderedPageBreak/>
              <w:t>Résumé</w:t>
            </w:r>
            <w:r w:rsidRPr="00EE01B4">
              <w:rPr>
                <w:rFonts w:cs="Arial"/>
                <w:sz w:val="20"/>
                <w:szCs w:val="20"/>
                <w:lang w:val="fr-FR"/>
              </w:rPr>
              <w:t xml:space="preserve"> : La Résolution X.16 présente un ‘Cadre pour les procédures de détection de changements dans les caractéristiques écologiques des zones humides, d’établissement de rapports et de réaction’, conçu par le </w:t>
            </w:r>
            <w:r w:rsidRPr="00EE01B4">
              <w:rPr>
                <w:rFonts w:cs="Arial"/>
                <w:sz w:val="20"/>
                <w:szCs w:val="20"/>
                <w:lang w:val="fr-FR"/>
              </w:rPr>
              <w:lastRenderedPageBreak/>
              <w:t>Groupe d’évaluation scientifique et technique de la Convention de Ramsar en réponse à une demande des Parties à la 8</w:t>
            </w:r>
            <w:r w:rsidRPr="00EE01B4">
              <w:rPr>
                <w:rFonts w:cs="Arial"/>
                <w:sz w:val="20"/>
                <w:szCs w:val="20"/>
                <w:vertAlign w:val="superscript"/>
                <w:lang w:val="fr-FR"/>
              </w:rPr>
              <w:t>e</w:t>
            </w:r>
            <w:r w:rsidRPr="00EE01B4">
              <w:rPr>
                <w:rFonts w:cs="Arial"/>
                <w:sz w:val="20"/>
                <w:szCs w:val="20"/>
                <w:lang w:val="fr-FR"/>
              </w:rPr>
              <w:t xml:space="preserve"> Session de la Conférence des Parties contractantes (COP8, 2002). Le présent document d’information fournit une motivation plus détaillée pour ce Cadre. Il examine les orientations qui sont déjà disponibles … et identifie les lacunes à différents endroits des processus où d’autres orientations pourraient être nécessaires.  </w:t>
            </w:r>
          </w:p>
        </w:tc>
      </w:tr>
      <w:tr w:rsidR="006F2361" w:rsidRPr="00EE01B4" w:rsidTr="00D45DDB">
        <w:tc>
          <w:tcPr>
            <w:tcW w:w="3045" w:type="dxa"/>
          </w:tcPr>
          <w:p w:rsidR="006F2361" w:rsidRPr="00EE01B4" w:rsidRDefault="00DF180B" w:rsidP="00B14B2F">
            <w:pPr>
              <w:spacing w:after="40"/>
              <w:rPr>
                <w:sz w:val="20"/>
                <w:szCs w:val="20"/>
                <w:lang w:val="fr-FR"/>
              </w:rPr>
            </w:pPr>
            <w:hyperlink r:id="rId61" w:history="1">
              <w:r w:rsidR="006F2361" w:rsidRPr="00EE01B4">
                <w:rPr>
                  <w:rStyle w:val="Hyperlink"/>
                  <w:sz w:val="20"/>
                  <w:szCs w:val="20"/>
                  <w:lang w:val="fr-FR"/>
                </w:rPr>
                <w:t>Note d’information n</w:t>
              </w:r>
              <w:r w:rsidR="006F2361" w:rsidRPr="00EE01B4">
                <w:rPr>
                  <w:rStyle w:val="Hyperlink"/>
                  <w:sz w:val="20"/>
                  <w:szCs w:val="20"/>
                  <w:vertAlign w:val="superscript"/>
                  <w:lang w:val="fr-FR"/>
                </w:rPr>
                <w:t>o</w:t>
              </w:r>
              <w:r w:rsidR="006F2361" w:rsidRPr="00EE01B4">
                <w:rPr>
                  <w:rStyle w:val="Hyperlink"/>
                  <w:sz w:val="20"/>
                  <w:szCs w:val="20"/>
                  <w:lang w:val="fr-FR"/>
                </w:rPr>
                <w:t> 6 du GEST : Vers l’utilisation rationnelle des zones humides urbaines et périurbaines</w:t>
              </w:r>
            </w:hyperlink>
            <w:r w:rsidR="006F2361" w:rsidRPr="00EE01B4">
              <w:rPr>
                <w:sz w:val="20"/>
                <w:szCs w:val="20"/>
                <w:lang w:val="fr-FR"/>
              </w:rPr>
              <w:t xml:space="preserve"> </w:t>
            </w:r>
          </w:p>
        </w:tc>
        <w:tc>
          <w:tcPr>
            <w:tcW w:w="2167" w:type="dxa"/>
          </w:tcPr>
          <w:p w:rsidR="006F2361" w:rsidRPr="00EE01B4" w:rsidRDefault="006F2361" w:rsidP="00B5352E">
            <w:pPr>
              <w:rPr>
                <w:rFonts w:cs="Arial"/>
                <w:sz w:val="20"/>
                <w:szCs w:val="20"/>
                <w:lang w:val="fr-FR"/>
              </w:rPr>
            </w:pPr>
            <w:r w:rsidRPr="00EE01B4">
              <w:rPr>
                <w:rFonts w:cs="Arial"/>
                <w:sz w:val="20"/>
                <w:szCs w:val="20"/>
                <w:lang w:val="fr-FR"/>
              </w:rPr>
              <w:t>Technique</w:t>
            </w:r>
          </w:p>
        </w:tc>
        <w:tc>
          <w:tcPr>
            <w:tcW w:w="2621" w:type="dxa"/>
          </w:tcPr>
          <w:p w:rsidR="006F2361" w:rsidRPr="00EE01B4" w:rsidRDefault="006F2361" w:rsidP="00B5352E">
            <w:pPr>
              <w:rPr>
                <w:rFonts w:cs="Arial"/>
                <w:sz w:val="20"/>
                <w:szCs w:val="20"/>
                <w:lang w:val="fr-FR"/>
              </w:rPr>
            </w:pPr>
            <w:r w:rsidRPr="00EE01B4">
              <w:rPr>
                <w:rFonts w:cs="Arial"/>
                <w:sz w:val="20"/>
                <w:szCs w:val="20"/>
                <w:lang w:val="fr-FR"/>
              </w:rPr>
              <w:t>Décideurs, praticiens</w:t>
            </w:r>
          </w:p>
        </w:tc>
        <w:tc>
          <w:tcPr>
            <w:tcW w:w="1258" w:type="dxa"/>
          </w:tcPr>
          <w:p w:rsidR="006F2361" w:rsidRPr="00EE01B4" w:rsidRDefault="006F2361" w:rsidP="00B5352E">
            <w:pPr>
              <w:rPr>
                <w:rFonts w:cs="Arial"/>
                <w:sz w:val="20"/>
                <w:szCs w:val="20"/>
                <w:lang w:val="fr-FR"/>
              </w:rPr>
            </w:pPr>
          </w:p>
        </w:tc>
        <w:tc>
          <w:tcPr>
            <w:tcW w:w="1258" w:type="dxa"/>
          </w:tcPr>
          <w:p w:rsidR="006F2361" w:rsidRPr="00EE01B4" w:rsidRDefault="006F2361" w:rsidP="00B5352E">
            <w:pPr>
              <w:rPr>
                <w:rFonts w:cs="Arial"/>
                <w:sz w:val="20"/>
                <w:szCs w:val="20"/>
                <w:lang w:val="fr-FR"/>
              </w:rPr>
            </w:pPr>
            <w:r w:rsidRPr="00EE01B4">
              <w:rPr>
                <w:rFonts w:cs="Arial"/>
                <w:sz w:val="20"/>
                <w:szCs w:val="20"/>
                <w:lang w:val="fr-FR"/>
              </w:rPr>
              <w:t>E</w:t>
            </w:r>
          </w:p>
        </w:tc>
        <w:tc>
          <w:tcPr>
            <w:tcW w:w="5265" w:type="dxa"/>
          </w:tcPr>
          <w:p w:rsidR="006F2361" w:rsidRPr="00EE01B4" w:rsidRDefault="006F2361" w:rsidP="00B46AE2">
            <w:pPr>
              <w:rPr>
                <w:rFonts w:cs="Arial"/>
                <w:sz w:val="20"/>
                <w:szCs w:val="20"/>
                <w:lang w:val="fr-FR"/>
              </w:rPr>
            </w:pPr>
            <w:r w:rsidRPr="00EE01B4">
              <w:rPr>
                <w:rFonts w:cs="Arial"/>
                <w:sz w:val="20"/>
                <w:szCs w:val="20"/>
                <w:u w:val="single"/>
                <w:lang w:val="fr-FR"/>
              </w:rPr>
              <w:t>Résumé</w:t>
            </w:r>
            <w:r w:rsidRPr="00EE01B4">
              <w:rPr>
                <w:rFonts w:cs="Arial"/>
                <w:sz w:val="20"/>
                <w:szCs w:val="20"/>
                <w:lang w:val="fr-FR"/>
              </w:rPr>
              <w:t xml:space="preserve"> : Cette Note d’information aborde les principes de la planification et de la gestion des zones humides urbaines et périurbaines convenus par les Parties contractantes à la Convention de Ramsar et vise à aider les administrateurs et planificateurs des villes à garantir l’utilisation rationnelle des zones humides.  </w:t>
            </w:r>
          </w:p>
        </w:tc>
      </w:tr>
      <w:tr w:rsidR="006F2361" w:rsidRPr="00EE01B4" w:rsidTr="00D45DDB">
        <w:tc>
          <w:tcPr>
            <w:tcW w:w="3045" w:type="dxa"/>
          </w:tcPr>
          <w:p w:rsidR="006F2361" w:rsidRPr="00EE01B4" w:rsidRDefault="006F2361" w:rsidP="00B46AE2">
            <w:pPr>
              <w:spacing w:after="40"/>
              <w:rPr>
                <w:sz w:val="20"/>
                <w:szCs w:val="20"/>
                <w:lang w:val="fr-FR"/>
              </w:rPr>
            </w:pPr>
            <w:r w:rsidRPr="00EE01B4">
              <w:rPr>
                <w:sz w:val="20"/>
                <w:szCs w:val="20"/>
                <w:lang w:val="fr-FR"/>
              </w:rPr>
              <w:t>Projet ouvert pour les Notes d’information du GEST de la dernière période triennale n</w:t>
            </w:r>
            <w:r w:rsidRPr="00EE01B4">
              <w:rPr>
                <w:sz w:val="20"/>
                <w:szCs w:val="20"/>
                <w:vertAlign w:val="superscript"/>
                <w:lang w:val="fr-FR"/>
              </w:rPr>
              <w:t>o</w:t>
            </w:r>
            <w:r w:rsidRPr="00EE01B4">
              <w:rPr>
                <w:sz w:val="20"/>
                <w:szCs w:val="20"/>
                <w:lang w:val="fr-FR"/>
              </w:rPr>
              <w:t> ____ : Un guide des orientations disponibles sur l’IAS (à venir; titre à finaliser)</w:t>
            </w:r>
          </w:p>
        </w:tc>
        <w:tc>
          <w:tcPr>
            <w:tcW w:w="2167" w:type="dxa"/>
          </w:tcPr>
          <w:p w:rsidR="006F2361" w:rsidRPr="00EE01B4" w:rsidRDefault="006F2361" w:rsidP="00B5352E">
            <w:pPr>
              <w:rPr>
                <w:rFonts w:cs="Arial"/>
                <w:sz w:val="20"/>
                <w:szCs w:val="20"/>
                <w:lang w:val="fr-FR"/>
              </w:rPr>
            </w:pPr>
            <w:r w:rsidRPr="00EE01B4">
              <w:rPr>
                <w:rFonts w:cs="Arial"/>
                <w:sz w:val="20"/>
                <w:szCs w:val="20"/>
                <w:lang w:val="fr-FR"/>
              </w:rPr>
              <w:t>Technique</w:t>
            </w:r>
          </w:p>
        </w:tc>
        <w:tc>
          <w:tcPr>
            <w:tcW w:w="2621" w:type="dxa"/>
          </w:tcPr>
          <w:p w:rsidR="006F2361" w:rsidRPr="00EE01B4" w:rsidRDefault="006F2361" w:rsidP="00B5352E">
            <w:pPr>
              <w:rPr>
                <w:rFonts w:cs="Arial"/>
                <w:sz w:val="20"/>
                <w:szCs w:val="20"/>
                <w:lang w:val="fr-FR"/>
              </w:rPr>
            </w:pPr>
            <w:r w:rsidRPr="00EE01B4">
              <w:rPr>
                <w:rFonts w:cs="Arial"/>
                <w:sz w:val="20"/>
                <w:szCs w:val="20"/>
                <w:lang w:val="fr-FR"/>
              </w:rPr>
              <w:t>Praticiens</w:t>
            </w:r>
          </w:p>
        </w:tc>
        <w:tc>
          <w:tcPr>
            <w:tcW w:w="1258" w:type="dxa"/>
          </w:tcPr>
          <w:p w:rsidR="006F2361" w:rsidRPr="00EE01B4" w:rsidRDefault="006F2361" w:rsidP="00B5352E">
            <w:pPr>
              <w:rPr>
                <w:rFonts w:cs="Arial"/>
                <w:sz w:val="20"/>
                <w:szCs w:val="20"/>
                <w:lang w:val="fr-FR"/>
              </w:rPr>
            </w:pPr>
          </w:p>
        </w:tc>
        <w:tc>
          <w:tcPr>
            <w:tcW w:w="1258" w:type="dxa"/>
          </w:tcPr>
          <w:p w:rsidR="006F2361" w:rsidRPr="00EE01B4" w:rsidRDefault="006F2361" w:rsidP="00B5352E">
            <w:pPr>
              <w:rPr>
                <w:rFonts w:cs="Arial"/>
                <w:sz w:val="20"/>
                <w:szCs w:val="20"/>
                <w:lang w:val="fr-FR"/>
              </w:rPr>
            </w:pPr>
            <w:r w:rsidRPr="00EE01B4">
              <w:rPr>
                <w:rFonts w:cs="Arial"/>
                <w:sz w:val="20"/>
                <w:szCs w:val="20"/>
                <w:lang w:val="fr-FR"/>
              </w:rPr>
              <w:t>E</w:t>
            </w:r>
          </w:p>
        </w:tc>
        <w:tc>
          <w:tcPr>
            <w:tcW w:w="5265" w:type="dxa"/>
          </w:tcPr>
          <w:p w:rsidR="006F2361" w:rsidRPr="00EE01B4" w:rsidRDefault="006F2361" w:rsidP="00B5352E">
            <w:pPr>
              <w:rPr>
                <w:rFonts w:cs="Arial"/>
                <w:sz w:val="20"/>
                <w:szCs w:val="20"/>
                <w:lang w:val="fr-FR"/>
              </w:rPr>
            </w:pPr>
          </w:p>
        </w:tc>
      </w:tr>
      <w:tr w:rsidR="006F2361" w:rsidRPr="00EE01B4" w:rsidTr="00D45DDB">
        <w:tc>
          <w:tcPr>
            <w:tcW w:w="3045" w:type="dxa"/>
          </w:tcPr>
          <w:p w:rsidR="006F2361" w:rsidRPr="00EE01B4" w:rsidRDefault="00DF180B" w:rsidP="0044386B">
            <w:pPr>
              <w:spacing w:after="40"/>
              <w:rPr>
                <w:sz w:val="20"/>
                <w:szCs w:val="20"/>
                <w:lang w:val="en-GB"/>
              </w:rPr>
            </w:pPr>
            <w:hyperlink r:id="rId62" w:history="1">
              <w:r w:rsidR="006F2361" w:rsidRPr="00EE01B4">
                <w:rPr>
                  <w:rStyle w:val="Hyperlink"/>
                  <w:sz w:val="20"/>
                  <w:szCs w:val="20"/>
                  <w:lang w:val="en-GB"/>
                </w:rPr>
                <w:t>Rapport technique Ramsar n</w:t>
              </w:r>
              <w:r w:rsidR="006F2361" w:rsidRPr="00EE01B4">
                <w:rPr>
                  <w:rStyle w:val="Hyperlink"/>
                  <w:sz w:val="20"/>
                  <w:szCs w:val="20"/>
                  <w:vertAlign w:val="superscript"/>
                  <w:lang w:val="en-GB"/>
                </w:rPr>
                <w:t>o</w:t>
              </w:r>
              <w:r w:rsidR="006F2361" w:rsidRPr="00EE01B4">
                <w:rPr>
                  <w:rStyle w:val="Hyperlink"/>
                  <w:sz w:val="20"/>
                  <w:szCs w:val="20"/>
                  <w:lang w:val="en-GB"/>
                </w:rPr>
                <w:t> 7: Ramsar Wetland Disease Manual: Guidelines for Assessment, Monitoring and Management of Animal Disease in Wetlands</w:t>
              </w:r>
            </w:hyperlink>
          </w:p>
        </w:tc>
        <w:tc>
          <w:tcPr>
            <w:tcW w:w="2167" w:type="dxa"/>
          </w:tcPr>
          <w:p w:rsidR="006F2361" w:rsidRPr="00EE01B4" w:rsidRDefault="006F2361" w:rsidP="00B5352E">
            <w:pPr>
              <w:rPr>
                <w:rFonts w:cs="Arial"/>
                <w:sz w:val="20"/>
                <w:szCs w:val="20"/>
                <w:lang w:val="fr-FR"/>
              </w:rPr>
            </w:pPr>
            <w:r w:rsidRPr="00EE01B4">
              <w:rPr>
                <w:rFonts w:cs="Arial"/>
                <w:sz w:val="20"/>
                <w:szCs w:val="20"/>
                <w:lang w:val="fr-FR"/>
              </w:rPr>
              <w:t>Technique</w:t>
            </w:r>
          </w:p>
        </w:tc>
        <w:tc>
          <w:tcPr>
            <w:tcW w:w="2621" w:type="dxa"/>
          </w:tcPr>
          <w:p w:rsidR="006F2361" w:rsidRPr="00EE01B4" w:rsidRDefault="006F2361" w:rsidP="00B5352E">
            <w:pPr>
              <w:rPr>
                <w:rFonts w:cs="Arial"/>
                <w:sz w:val="20"/>
                <w:szCs w:val="20"/>
                <w:lang w:val="fr-FR"/>
              </w:rPr>
            </w:pPr>
            <w:r w:rsidRPr="00EE01B4">
              <w:rPr>
                <w:rFonts w:cs="Arial"/>
                <w:sz w:val="20"/>
                <w:szCs w:val="20"/>
                <w:lang w:val="fr-FR"/>
              </w:rPr>
              <w:t>Praticiens, décideurs</w:t>
            </w:r>
          </w:p>
        </w:tc>
        <w:tc>
          <w:tcPr>
            <w:tcW w:w="1258" w:type="dxa"/>
          </w:tcPr>
          <w:p w:rsidR="006F2361" w:rsidRPr="00EE01B4" w:rsidRDefault="006F2361" w:rsidP="00B5352E">
            <w:pPr>
              <w:rPr>
                <w:rFonts w:cs="Arial"/>
                <w:sz w:val="20"/>
                <w:szCs w:val="20"/>
                <w:lang w:val="fr-FR"/>
              </w:rPr>
            </w:pPr>
          </w:p>
        </w:tc>
        <w:tc>
          <w:tcPr>
            <w:tcW w:w="1258" w:type="dxa"/>
          </w:tcPr>
          <w:p w:rsidR="006F2361" w:rsidRPr="00EE01B4" w:rsidRDefault="006F2361" w:rsidP="00B5352E">
            <w:pPr>
              <w:rPr>
                <w:rFonts w:cs="Arial"/>
                <w:sz w:val="20"/>
                <w:szCs w:val="20"/>
                <w:lang w:val="fr-FR"/>
              </w:rPr>
            </w:pPr>
            <w:r w:rsidRPr="00EE01B4">
              <w:rPr>
                <w:rFonts w:cs="Arial"/>
                <w:sz w:val="20"/>
                <w:szCs w:val="20"/>
                <w:lang w:val="fr-FR"/>
              </w:rPr>
              <w:t>E</w:t>
            </w:r>
          </w:p>
        </w:tc>
        <w:tc>
          <w:tcPr>
            <w:tcW w:w="5265" w:type="dxa"/>
          </w:tcPr>
          <w:p w:rsidR="006F2361" w:rsidRPr="00EE01B4" w:rsidRDefault="006F2361" w:rsidP="00E74CB7">
            <w:pPr>
              <w:rPr>
                <w:rFonts w:cs="Arial"/>
                <w:sz w:val="20"/>
                <w:szCs w:val="20"/>
                <w:lang w:val="fr-FR"/>
              </w:rPr>
            </w:pPr>
            <w:r w:rsidRPr="00EE01B4">
              <w:rPr>
                <w:rFonts w:cs="Arial"/>
                <w:sz w:val="20"/>
                <w:szCs w:val="20"/>
                <w:u w:val="single"/>
                <w:lang w:val="fr-FR"/>
              </w:rPr>
              <w:t>Résumé</w:t>
            </w:r>
            <w:r w:rsidRPr="00EE01B4">
              <w:rPr>
                <w:rFonts w:cs="Arial"/>
                <w:sz w:val="20"/>
                <w:szCs w:val="20"/>
                <w:lang w:val="fr-FR"/>
              </w:rPr>
              <w:t> : Ce Manuel a pour objet de fournir au lecteur une vue d’ensemble des principes et points pratiques permettant de gérer les maladies animales dans les zones humides. Le Manuel souligne l’importance d’inclure la prévention et le contrôle des maladies dans les plans de gestion des zones humides et fournit des orientations sur les moyens de le faire. Il devrait être utilisé conjointement avec le Manuel Ramsar n</w:t>
            </w:r>
            <w:r w:rsidRPr="00EE01B4">
              <w:rPr>
                <w:rFonts w:cs="Arial"/>
                <w:sz w:val="20"/>
                <w:szCs w:val="20"/>
                <w:vertAlign w:val="superscript"/>
                <w:lang w:val="fr-FR"/>
              </w:rPr>
              <w:t>o</w:t>
            </w:r>
            <w:r w:rsidRPr="00EE01B4">
              <w:rPr>
                <w:rFonts w:cs="Arial"/>
                <w:sz w:val="20"/>
                <w:szCs w:val="20"/>
                <w:lang w:val="fr-FR"/>
              </w:rPr>
              <w:t xml:space="preserve"> 18 sur la gestion des zones humides.   </w:t>
            </w:r>
          </w:p>
        </w:tc>
      </w:tr>
      <w:tr w:rsidR="006F2361" w:rsidRPr="00EE01B4" w:rsidTr="00D45DDB">
        <w:tc>
          <w:tcPr>
            <w:tcW w:w="3045" w:type="dxa"/>
          </w:tcPr>
          <w:p w:rsidR="006F2361" w:rsidRPr="00EE01B4" w:rsidRDefault="00DF180B" w:rsidP="000B72C5">
            <w:pPr>
              <w:spacing w:after="40"/>
              <w:rPr>
                <w:sz w:val="20"/>
                <w:szCs w:val="20"/>
                <w:lang w:val="en-GB"/>
              </w:rPr>
            </w:pPr>
            <w:hyperlink r:id="rId63" w:history="1">
              <w:r w:rsidR="006F2361" w:rsidRPr="00EE01B4">
                <w:rPr>
                  <w:rStyle w:val="Hyperlink"/>
                  <w:sz w:val="20"/>
                  <w:szCs w:val="20"/>
                  <w:lang w:val="en-GB"/>
                </w:rPr>
                <w:t>Rapport technique Ramsar n</w:t>
              </w:r>
              <w:r w:rsidR="006F2361" w:rsidRPr="00EE01B4">
                <w:rPr>
                  <w:rStyle w:val="Hyperlink"/>
                  <w:sz w:val="20"/>
                  <w:szCs w:val="20"/>
                  <w:vertAlign w:val="superscript"/>
                  <w:lang w:val="en-GB"/>
                </w:rPr>
                <w:t>o</w:t>
              </w:r>
              <w:r w:rsidR="006F2361" w:rsidRPr="00EE01B4">
                <w:rPr>
                  <w:rStyle w:val="Hyperlink"/>
                  <w:sz w:val="20"/>
                  <w:szCs w:val="20"/>
                  <w:lang w:val="en-GB"/>
                </w:rPr>
                <w:t> 9: Determination and implementation of environmental water requirements for estuaries</w:t>
              </w:r>
            </w:hyperlink>
          </w:p>
        </w:tc>
        <w:tc>
          <w:tcPr>
            <w:tcW w:w="2167" w:type="dxa"/>
          </w:tcPr>
          <w:p w:rsidR="006F2361" w:rsidRPr="00EE01B4" w:rsidRDefault="006F2361" w:rsidP="00B5352E">
            <w:pPr>
              <w:rPr>
                <w:rFonts w:cs="Arial"/>
                <w:sz w:val="20"/>
                <w:szCs w:val="20"/>
                <w:lang w:val="fr-FR"/>
              </w:rPr>
            </w:pPr>
            <w:r w:rsidRPr="00EE01B4">
              <w:rPr>
                <w:rFonts w:cs="Arial"/>
                <w:sz w:val="20"/>
                <w:szCs w:val="20"/>
                <w:lang w:val="fr-FR"/>
              </w:rPr>
              <w:t>Technique/</w:t>
            </w:r>
          </w:p>
          <w:p w:rsidR="006F2361" w:rsidRPr="00EE01B4" w:rsidRDefault="006F2361" w:rsidP="00813EA9">
            <w:pPr>
              <w:rPr>
                <w:rFonts w:cs="Arial"/>
                <w:sz w:val="20"/>
                <w:szCs w:val="20"/>
                <w:lang w:val="fr-FR"/>
              </w:rPr>
            </w:pPr>
            <w:r w:rsidRPr="00EE01B4">
              <w:rPr>
                <w:rFonts w:cs="Arial"/>
                <w:sz w:val="20"/>
                <w:szCs w:val="20"/>
                <w:lang w:val="fr-FR"/>
              </w:rPr>
              <w:t>Scientifique</w:t>
            </w:r>
          </w:p>
        </w:tc>
        <w:tc>
          <w:tcPr>
            <w:tcW w:w="2621" w:type="dxa"/>
          </w:tcPr>
          <w:p w:rsidR="006F2361" w:rsidRPr="00EE01B4" w:rsidRDefault="006F2361" w:rsidP="00813EA9">
            <w:pPr>
              <w:rPr>
                <w:rFonts w:cs="Arial"/>
                <w:sz w:val="20"/>
                <w:szCs w:val="20"/>
                <w:lang w:val="fr-FR"/>
              </w:rPr>
            </w:pPr>
            <w:r w:rsidRPr="00EE01B4">
              <w:rPr>
                <w:rFonts w:cs="Arial"/>
                <w:sz w:val="20"/>
                <w:szCs w:val="20"/>
                <w:lang w:val="fr-FR"/>
              </w:rPr>
              <w:t>Scientifiques, praticiens</w:t>
            </w:r>
          </w:p>
        </w:tc>
        <w:tc>
          <w:tcPr>
            <w:tcW w:w="1258" w:type="dxa"/>
          </w:tcPr>
          <w:p w:rsidR="006F2361" w:rsidRPr="00EE01B4" w:rsidRDefault="006F2361" w:rsidP="00B5352E">
            <w:pPr>
              <w:rPr>
                <w:rFonts w:cs="Arial"/>
                <w:sz w:val="20"/>
                <w:szCs w:val="20"/>
                <w:lang w:val="fr-FR"/>
              </w:rPr>
            </w:pPr>
          </w:p>
        </w:tc>
        <w:tc>
          <w:tcPr>
            <w:tcW w:w="1258" w:type="dxa"/>
          </w:tcPr>
          <w:p w:rsidR="006F2361" w:rsidRPr="00EE01B4" w:rsidRDefault="006F2361" w:rsidP="00B5352E">
            <w:pPr>
              <w:rPr>
                <w:rFonts w:cs="Arial"/>
                <w:sz w:val="20"/>
                <w:szCs w:val="20"/>
                <w:lang w:val="fr-FR"/>
              </w:rPr>
            </w:pPr>
            <w:r w:rsidRPr="00EE01B4">
              <w:rPr>
                <w:rFonts w:cs="Arial"/>
                <w:sz w:val="20"/>
                <w:szCs w:val="20"/>
                <w:lang w:val="fr-FR"/>
              </w:rPr>
              <w:t>E</w:t>
            </w:r>
          </w:p>
        </w:tc>
        <w:tc>
          <w:tcPr>
            <w:tcW w:w="5265" w:type="dxa"/>
          </w:tcPr>
          <w:p w:rsidR="006F2361" w:rsidRPr="00EE01B4" w:rsidRDefault="006F2361" w:rsidP="000B72C5">
            <w:pPr>
              <w:rPr>
                <w:rFonts w:cs="Arial"/>
                <w:sz w:val="20"/>
                <w:szCs w:val="20"/>
                <w:lang w:val="fr-FR"/>
              </w:rPr>
            </w:pPr>
            <w:r w:rsidRPr="00EE01B4">
              <w:rPr>
                <w:rFonts w:cs="Arial"/>
                <w:sz w:val="20"/>
                <w:szCs w:val="20"/>
                <w:u w:val="single"/>
                <w:lang w:val="fr-FR"/>
              </w:rPr>
              <w:t>Résumé</w:t>
            </w:r>
            <w:r w:rsidRPr="00EE01B4">
              <w:rPr>
                <w:rFonts w:cs="Arial"/>
                <w:sz w:val="20"/>
                <w:szCs w:val="20"/>
                <w:lang w:val="fr-FR"/>
              </w:rPr>
              <w:t xml:space="preserve"> : Ce rapport contient une étude des méthodes disponibles pour déterminer les besoins environnementaux en eau dans les estuaires, ainsi qu’une discussion sur les tendances en matière d’élaboration des méthodes et des mesures  pour une mise en œuvre réussie des besoins environnementaux en eau.  </w:t>
            </w:r>
          </w:p>
        </w:tc>
      </w:tr>
      <w:tr w:rsidR="006F2361" w:rsidRPr="00EE01B4" w:rsidTr="00D45DDB">
        <w:tc>
          <w:tcPr>
            <w:tcW w:w="3045" w:type="dxa"/>
          </w:tcPr>
          <w:p w:rsidR="006F2361" w:rsidRPr="00EE01B4" w:rsidRDefault="006F2361" w:rsidP="00B5352E">
            <w:pPr>
              <w:spacing w:after="40"/>
              <w:rPr>
                <w:sz w:val="20"/>
                <w:szCs w:val="20"/>
                <w:lang w:val="en-GB"/>
              </w:rPr>
            </w:pPr>
            <w:r w:rsidRPr="00EE01B4">
              <w:rPr>
                <w:sz w:val="20"/>
                <w:szCs w:val="20"/>
                <w:lang w:val="en-GB"/>
              </w:rPr>
              <w:t>Internal Report: Change in ecological character of wetland sites – Ramsar guidance and mechanisms (2014)</w:t>
            </w:r>
          </w:p>
        </w:tc>
        <w:tc>
          <w:tcPr>
            <w:tcW w:w="2167" w:type="dxa"/>
          </w:tcPr>
          <w:p w:rsidR="006F2361" w:rsidRPr="00EE01B4" w:rsidRDefault="006F2361" w:rsidP="00B5352E">
            <w:pPr>
              <w:rPr>
                <w:rFonts w:cs="Arial"/>
                <w:sz w:val="20"/>
                <w:szCs w:val="20"/>
                <w:lang w:val="fr-FR"/>
              </w:rPr>
            </w:pPr>
            <w:r w:rsidRPr="00EE01B4">
              <w:rPr>
                <w:rFonts w:cs="Arial"/>
                <w:sz w:val="20"/>
                <w:szCs w:val="20"/>
                <w:lang w:val="fr-FR"/>
              </w:rPr>
              <w:t>Technique</w:t>
            </w:r>
          </w:p>
        </w:tc>
        <w:tc>
          <w:tcPr>
            <w:tcW w:w="2621" w:type="dxa"/>
          </w:tcPr>
          <w:p w:rsidR="006F2361" w:rsidRPr="00EE01B4" w:rsidRDefault="006F2361" w:rsidP="00B5352E">
            <w:pPr>
              <w:rPr>
                <w:rFonts w:cs="Arial"/>
                <w:sz w:val="20"/>
                <w:szCs w:val="20"/>
                <w:lang w:val="fr-FR"/>
              </w:rPr>
            </w:pPr>
            <w:r w:rsidRPr="00EE01B4">
              <w:rPr>
                <w:rFonts w:cs="Arial"/>
                <w:sz w:val="20"/>
                <w:szCs w:val="20"/>
                <w:lang w:val="fr-FR"/>
              </w:rPr>
              <w:t>Praticiens</w:t>
            </w:r>
          </w:p>
        </w:tc>
        <w:tc>
          <w:tcPr>
            <w:tcW w:w="1258" w:type="dxa"/>
          </w:tcPr>
          <w:p w:rsidR="006F2361" w:rsidRPr="00EE01B4" w:rsidRDefault="006F2361" w:rsidP="00B5352E">
            <w:pPr>
              <w:rPr>
                <w:rFonts w:cs="Arial"/>
                <w:sz w:val="20"/>
                <w:szCs w:val="20"/>
                <w:lang w:val="fr-FR"/>
              </w:rPr>
            </w:pPr>
          </w:p>
        </w:tc>
        <w:tc>
          <w:tcPr>
            <w:tcW w:w="1258" w:type="dxa"/>
          </w:tcPr>
          <w:p w:rsidR="006F2361" w:rsidRPr="00EE01B4" w:rsidRDefault="006F2361" w:rsidP="00B5352E">
            <w:pPr>
              <w:rPr>
                <w:rFonts w:cs="Arial"/>
                <w:sz w:val="20"/>
                <w:szCs w:val="20"/>
                <w:lang w:val="fr-FR"/>
              </w:rPr>
            </w:pPr>
            <w:r w:rsidRPr="00EE01B4">
              <w:rPr>
                <w:rFonts w:cs="Arial"/>
                <w:sz w:val="20"/>
                <w:szCs w:val="20"/>
                <w:lang w:val="fr-FR"/>
              </w:rPr>
              <w:t>E</w:t>
            </w:r>
          </w:p>
        </w:tc>
        <w:tc>
          <w:tcPr>
            <w:tcW w:w="5265" w:type="dxa"/>
          </w:tcPr>
          <w:p w:rsidR="006F2361" w:rsidRPr="00EE01B4" w:rsidRDefault="006F2361" w:rsidP="004E3F79">
            <w:pPr>
              <w:rPr>
                <w:rFonts w:cs="Arial"/>
                <w:sz w:val="20"/>
                <w:szCs w:val="20"/>
                <w:lang w:val="fr-FR"/>
              </w:rPr>
            </w:pPr>
            <w:r w:rsidRPr="00EE01B4">
              <w:rPr>
                <w:rFonts w:cs="Arial"/>
                <w:sz w:val="20"/>
                <w:szCs w:val="20"/>
                <w:lang w:val="fr-FR"/>
              </w:rPr>
              <w:t>Comme indiqué dans le document COP12 DOC.6, ce rapport a été préparé concernant les tâches 20, 25 et 41 pour la période triennale 2013–2015.</w:t>
            </w:r>
          </w:p>
        </w:tc>
      </w:tr>
      <w:tr w:rsidR="006F2361" w:rsidRPr="00EE01B4" w:rsidTr="00D45DDB">
        <w:tc>
          <w:tcPr>
            <w:tcW w:w="3045" w:type="dxa"/>
          </w:tcPr>
          <w:p w:rsidR="006F2361" w:rsidRPr="00EE01B4" w:rsidRDefault="00DF180B" w:rsidP="00816CA5">
            <w:pPr>
              <w:spacing w:after="40"/>
              <w:rPr>
                <w:sz w:val="20"/>
                <w:szCs w:val="20"/>
                <w:lang w:val="fr-FR"/>
              </w:rPr>
            </w:pPr>
            <w:hyperlink r:id="rId64" w:history="1">
              <w:r w:rsidR="006F2361" w:rsidRPr="00EE01B4">
                <w:rPr>
                  <w:rStyle w:val="Hyperlink"/>
                  <w:sz w:val="20"/>
                  <w:szCs w:val="20"/>
                  <w:lang w:val="fr-FR"/>
                </w:rPr>
                <w:t>Résolution IX. 4 : La Convention de Ramsar et la conservation, la production et l’utilisation durable des ressources halieutiques</w:t>
              </w:r>
            </w:hyperlink>
          </w:p>
        </w:tc>
        <w:tc>
          <w:tcPr>
            <w:tcW w:w="2167" w:type="dxa"/>
          </w:tcPr>
          <w:p w:rsidR="006F2361" w:rsidRPr="00EE01B4" w:rsidRDefault="006F2361" w:rsidP="00B5352E">
            <w:pPr>
              <w:rPr>
                <w:rFonts w:cs="Arial"/>
                <w:sz w:val="20"/>
                <w:szCs w:val="20"/>
                <w:lang w:val="fr-FR"/>
              </w:rPr>
            </w:pPr>
            <w:r w:rsidRPr="00EE01B4">
              <w:rPr>
                <w:rFonts w:cs="Arial"/>
                <w:sz w:val="20"/>
                <w:szCs w:val="20"/>
                <w:lang w:val="fr-FR"/>
              </w:rPr>
              <w:t>Technique</w:t>
            </w:r>
          </w:p>
        </w:tc>
        <w:tc>
          <w:tcPr>
            <w:tcW w:w="2621" w:type="dxa"/>
          </w:tcPr>
          <w:p w:rsidR="006F2361" w:rsidRPr="00EE01B4" w:rsidRDefault="006F2361" w:rsidP="00B5352E">
            <w:pPr>
              <w:rPr>
                <w:rFonts w:cs="Arial"/>
                <w:sz w:val="20"/>
                <w:szCs w:val="20"/>
                <w:lang w:val="fr-FR"/>
              </w:rPr>
            </w:pPr>
            <w:r w:rsidRPr="00EE01B4">
              <w:rPr>
                <w:rFonts w:cs="Arial"/>
                <w:sz w:val="20"/>
                <w:szCs w:val="20"/>
                <w:lang w:val="fr-FR"/>
              </w:rPr>
              <w:t>Décideurs, praticiens</w:t>
            </w:r>
          </w:p>
        </w:tc>
        <w:tc>
          <w:tcPr>
            <w:tcW w:w="1258" w:type="dxa"/>
          </w:tcPr>
          <w:p w:rsidR="006F2361" w:rsidRPr="00EE01B4" w:rsidRDefault="006F2361" w:rsidP="00B5352E">
            <w:pPr>
              <w:rPr>
                <w:rFonts w:cs="Arial"/>
                <w:sz w:val="20"/>
                <w:szCs w:val="20"/>
                <w:lang w:val="fr-FR"/>
              </w:rPr>
            </w:pPr>
            <w:r w:rsidRPr="00EE01B4">
              <w:rPr>
                <w:rFonts w:cs="Arial"/>
                <w:sz w:val="20"/>
                <w:szCs w:val="20"/>
                <w:lang w:val="fr-FR"/>
              </w:rPr>
              <w:t>18</w:t>
            </w:r>
          </w:p>
        </w:tc>
        <w:tc>
          <w:tcPr>
            <w:tcW w:w="1258" w:type="dxa"/>
          </w:tcPr>
          <w:p w:rsidR="006F2361" w:rsidRPr="00EE01B4" w:rsidRDefault="006F2361" w:rsidP="00B5352E">
            <w:pPr>
              <w:rPr>
                <w:rFonts w:cs="Arial"/>
                <w:sz w:val="20"/>
                <w:szCs w:val="20"/>
                <w:lang w:val="fr-FR"/>
              </w:rPr>
            </w:pPr>
            <w:r w:rsidRPr="00EE01B4">
              <w:rPr>
                <w:rFonts w:cs="Arial"/>
                <w:sz w:val="20"/>
                <w:szCs w:val="20"/>
                <w:lang w:val="fr-FR"/>
              </w:rPr>
              <w:t>EFS</w:t>
            </w:r>
          </w:p>
        </w:tc>
        <w:tc>
          <w:tcPr>
            <w:tcW w:w="5265" w:type="dxa"/>
          </w:tcPr>
          <w:p w:rsidR="006F2361" w:rsidRPr="00EE01B4" w:rsidRDefault="006F2361" w:rsidP="00B5352E">
            <w:pPr>
              <w:rPr>
                <w:rFonts w:cs="Arial"/>
                <w:sz w:val="20"/>
                <w:szCs w:val="20"/>
                <w:lang w:val="fr-FR"/>
              </w:rPr>
            </w:pPr>
          </w:p>
        </w:tc>
      </w:tr>
      <w:tr w:rsidR="006F2361" w:rsidRPr="00EE01B4" w:rsidTr="006450F2">
        <w:tc>
          <w:tcPr>
            <w:tcW w:w="15614" w:type="dxa"/>
            <w:gridSpan w:val="6"/>
            <w:shd w:val="clear" w:color="auto" w:fill="F2F2F2" w:themeFill="background1" w:themeFillShade="F2"/>
          </w:tcPr>
          <w:p w:rsidR="006F2361" w:rsidRPr="00EE01B4" w:rsidRDefault="006F2361" w:rsidP="003207C6">
            <w:pPr>
              <w:jc w:val="center"/>
              <w:rPr>
                <w:rFonts w:cs="Arial"/>
                <w:sz w:val="20"/>
                <w:szCs w:val="20"/>
                <w:lang w:val="fr-FR"/>
              </w:rPr>
            </w:pPr>
            <w:r w:rsidRPr="00EE01B4">
              <w:rPr>
                <w:rFonts w:cs="Arial"/>
                <w:b/>
                <w:sz w:val="20"/>
                <w:szCs w:val="20"/>
                <w:lang w:val="fr-FR"/>
              </w:rPr>
              <w:t>Autres orientations</w:t>
            </w:r>
          </w:p>
        </w:tc>
      </w:tr>
      <w:tr w:rsidR="006F2361" w:rsidRPr="00EE01B4" w:rsidTr="009D62D8">
        <w:tc>
          <w:tcPr>
            <w:tcW w:w="15614" w:type="dxa"/>
            <w:gridSpan w:val="6"/>
            <w:shd w:val="clear" w:color="auto" w:fill="FBD4B4" w:themeFill="accent6" w:themeFillTint="66"/>
          </w:tcPr>
          <w:p w:rsidR="006F2361" w:rsidRPr="00EE01B4" w:rsidRDefault="006F2361" w:rsidP="007F2A42">
            <w:pPr>
              <w:rPr>
                <w:sz w:val="20"/>
                <w:szCs w:val="20"/>
                <w:lang w:val="fr-CH"/>
              </w:rPr>
            </w:pPr>
            <w:r w:rsidRPr="00EE01B4">
              <w:rPr>
                <w:b/>
                <w:sz w:val="20"/>
                <w:szCs w:val="20"/>
                <w:lang w:val="fr-CH"/>
              </w:rPr>
              <w:t>Mise à jour 2016-2019</w:t>
            </w:r>
          </w:p>
        </w:tc>
      </w:tr>
      <w:tr w:rsidR="006F2361" w:rsidRPr="00EE01B4" w:rsidTr="00D45DDB">
        <w:tc>
          <w:tcPr>
            <w:tcW w:w="3045" w:type="dxa"/>
          </w:tcPr>
          <w:p w:rsidR="006F2361" w:rsidRPr="00EE01B4" w:rsidRDefault="00DF180B" w:rsidP="007F2A42">
            <w:pPr>
              <w:rPr>
                <w:sz w:val="20"/>
                <w:szCs w:val="20"/>
                <w:lang w:val="en-CA"/>
              </w:rPr>
            </w:pPr>
            <w:hyperlink r:id="rId65" w:history="1">
              <w:r w:rsidR="006F2361" w:rsidRPr="00EE01B4">
                <w:rPr>
                  <w:rStyle w:val="Hyperlink"/>
                  <w:sz w:val="20"/>
                  <w:szCs w:val="20"/>
                  <w:lang w:val="en-CA"/>
                </w:rPr>
                <w:t>Ramsar Regional Center – East Asia (RRC-EA). (2017). The Designation and Management of Ramsar Sites – A practitioner’s guide</w:t>
              </w:r>
            </w:hyperlink>
          </w:p>
        </w:tc>
        <w:tc>
          <w:tcPr>
            <w:tcW w:w="2167" w:type="dxa"/>
          </w:tcPr>
          <w:p w:rsidR="006F2361" w:rsidRPr="00EE01B4" w:rsidRDefault="006F2361" w:rsidP="007F2A42">
            <w:pPr>
              <w:rPr>
                <w:rFonts w:cs="Arial"/>
                <w:sz w:val="20"/>
                <w:szCs w:val="20"/>
                <w:lang w:val="en-CA"/>
              </w:rPr>
            </w:pPr>
          </w:p>
        </w:tc>
        <w:tc>
          <w:tcPr>
            <w:tcW w:w="2621" w:type="dxa"/>
          </w:tcPr>
          <w:p w:rsidR="006F2361" w:rsidRPr="00EE01B4" w:rsidRDefault="006F2361" w:rsidP="007F2A42">
            <w:pPr>
              <w:rPr>
                <w:rFonts w:cs="Arial"/>
                <w:sz w:val="20"/>
                <w:szCs w:val="20"/>
                <w:lang w:val="en-CA"/>
              </w:rPr>
            </w:pPr>
          </w:p>
        </w:tc>
        <w:tc>
          <w:tcPr>
            <w:tcW w:w="1258" w:type="dxa"/>
          </w:tcPr>
          <w:p w:rsidR="006F2361" w:rsidRPr="00EE01B4" w:rsidRDefault="006F2361" w:rsidP="007F2A42">
            <w:pPr>
              <w:rPr>
                <w:rFonts w:cs="Arial"/>
                <w:sz w:val="20"/>
                <w:szCs w:val="20"/>
                <w:lang w:val="en-CA"/>
              </w:rPr>
            </w:pPr>
          </w:p>
        </w:tc>
        <w:tc>
          <w:tcPr>
            <w:tcW w:w="1258" w:type="dxa"/>
          </w:tcPr>
          <w:p w:rsidR="006F2361" w:rsidRPr="00EE01B4" w:rsidRDefault="006F2361" w:rsidP="007F2A42">
            <w:pPr>
              <w:rPr>
                <w:sz w:val="20"/>
                <w:szCs w:val="20"/>
                <w:lang w:val="en-CA"/>
              </w:rPr>
            </w:pPr>
            <w:r w:rsidRPr="00EE01B4">
              <w:rPr>
                <w:sz w:val="20"/>
                <w:szCs w:val="20"/>
                <w:lang w:val="en-CA"/>
              </w:rPr>
              <w:t>ECK, KM, ID, LO, MY, NE</w:t>
            </w:r>
          </w:p>
        </w:tc>
        <w:tc>
          <w:tcPr>
            <w:tcW w:w="5265" w:type="dxa"/>
          </w:tcPr>
          <w:p w:rsidR="006F2361" w:rsidRPr="00EE01B4" w:rsidRDefault="006F2361" w:rsidP="007F2A42">
            <w:pPr>
              <w:rPr>
                <w:sz w:val="20"/>
                <w:szCs w:val="20"/>
                <w:lang w:val="fr-CH"/>
              </w:rPr>
            </w:pPr>
            <w:r w:rsidRPr="00EE01B4">
              <w:rPr>
                <w:sz w:val="20"/>
                <w:szCs w:val="20"/>
                <w:lang w:val="fr-CH"/>
              </w:rPr>
              <w:t>Centre régional Ramsar pour l’Asie de l’Est :</w:t>
            </w:r>
          </w:p>
          <w:p w:rsidR="006F2361" w:rsidRPr="00EE01B4" w:rsidRDefault="006F2361" w:rsidP="007F2A42">
            <w:pPr>
              <w:rPr>
                <w:sz w:val="20"/>
                <w:szCs w:val="20"/>
                <w:lang w:val="fr-CH"/>
              </w:rPr>
            </w:pPr>
            <w:r w:rsidRPr="00EE01B4">
              <w:rPr>
                <w:sz w:val="20"/>
                <w:szCs w:val="20"/>
                <w:lang w:val="fr-CH"/>
              </w:rPr>
              <w:t>Résumé : Ce guide s'adresse principalement aux personnes impliquées dans la gestion des Sites Ramsar ; il vise à mieux faire comprendre ses mécanismes, en s'appuyant sur les orientations fournies par la Convention de Ramsar et les bonnes pratiques identifiées par les experts et partenaires de la Convention.</w:t>
            </w:r>
          </w:p>
          <w:p w:rsidR="006F2361" w:rsidRPr="00EE01B4" w:rsidRDefault="006F2361" w:rsidP="007F2A42">
            <w:pPr>
              <w:rPr>
                <w:sz w:val="20"/>
                <w:szCs w:val="20"/>
                <w:lang w:val="fr-CH"/>
              </w:rPr>
            </w:pPr>
            <w:r w:rsidRPr="00EE01B4">
              <w:rPr>
                <w:sz w:val="20"/>
                <w:szCs w:val="20"/>
                <w:lang w:val="fr-CH"/>
              </w:rPr>
              <w:t>Le guide contient également des informations simplifiées sur le processus d'inscription des Sites Ramsar afin de mettre en évidence les différents liens entre les étapes de l'inscription et de la gestion.</w:t>
            </w:r>
          </w:p>
        </w:tc>
      </w:tr>
      <w:tr w:rsidR="006F2361" w:rsidRPr="00EE01B4" w:rsidTr="00D45DDB">
        <w:tc>
          <w:tcPr>
            <w:tcW w:w="3045" w:type="dxa"/>
          </w:tcPr>
          <w:p w:rsidR="006F2361" w:rsidRPr="00EE01B4" w:rsidRDefault="00DF180B" w:rsidP="007F2A42">
            <w:pPr>
              <w:rPr>
                <w:sz w:val="20"/>
                <w:szCs w:val="20"/>
                <w:lang w:val="fr-CH"/>
              </w:rPr>
            </w:pPr>
            <w:hyperlink r:id="rId66" w:history="1">
              <w:r w:rsidR="006F2361" w:rsidRPr="00EE01B4">
                <w:rPr>
                  <w:rStyle w:val="Hyperlink"/>
                  <w:sz w:val="20"/>
                  <w:szCs w:val="20"/>
                  <w:lang w:val="fr-CH"/>
                </w:rPr>
                <w:t>Inventaires culturels rapides des zones humides</w:t>
              </w:r>
            </w:hyperlink>
            <w:r w:rsidR="006F2361" w:rsidRPr="00EE01B4">
              <w:rPr>
                <w:sz w:val="20"/>
                <w:szCs w:val="20"/>
                <w:lang w:val="fr-CH"/>
              </w:rPr>
              <w:t xml:space="preserve"> (document d’orientation)</w:t>
            </w:r>
          </w:p>
        </w:tc>
        <w:tc>
          <w:tcPr>
            <w:tcW w:w="2167" w:type="dxa"/>
          </w:tcPr>
          <w:p w:rsidR="006F2361" w:rsidRPr="00EE01B4" w:rsidRDefault="006F2361" w:rsidP="007F2A42">
            <w:pPr>
              <w:rPr>
                <w:rFonts w:cs="Arial"/>
                <w:sz w:val="20"/>
                <w:szCs w:val="20"/>
                <w:lang w:val="fr-CH"/>
              </w:rPr>
            </w:pPr>
          </w:p>
        </w:tc>
        <w:tc>
          <w:tcPr>
            <w:tcW w:w="2621" w:type="dxa"/>
          </w:tcPr>
          <w:p w:rsidR="006F2361" w:rsidRPr="00EE01B4" w:rsidRDefault="006F2361" w:rsidP="007F2A42">
            <w:pPr>
              <w:rPr>
                <w:rFonts w:cs="Arial"/>
                <w:sz w:val="20"/>
                <w:szCs w:val="20"/>
                <w:lang w:val="fr-CH"/>
              </w:rPr>
            </w:pPr>
          </w:p>
        </w:tc>
        <w:tc>
          <w:tcPr>
            <w:tcW w:w="1258" w:type="dxa"/>
          </w:tcPr>
          <w:p w:rsidR="006F2361" w:rsidRPr="00EE01B4" w:rsidRDefault="006F2361" w:rsidP="007F2A42">
            <w:pPr>
              <w:rPr>
                <w:rFonts w:cs="Arial"/>
                <w:sz w:val="20"/>
                <w:szCs w:val="20"/>
                <w:lang w:val="fr-CH"/>
              </w:rPr>
            </w:pPr>
          </w:p>
        </w:tc>
        <w:tc>
          <w:tcPr>
            <w:tcW w:w="1258" w:type="dxa"/>
          </w:tcPr>
          <w:p w:rsidR="006F2361" w:rsidRPr="00EE01B4" w:rsidRDefault="006F2361" w:rsidP="007F2A42">
            <w:pPr>
              <w:rPr>
                <w:rFonts w:cs="Arial"/>
                <w:sz w:val="20"/>
                <w:szCs w:val="20"/>
                <w:lang w:val="fr-CH"/>
              </w:rPr>
            </w:pPr>
            <w:r w:rsidRPr="00EE01B4">
              <w:rPr>
                <w:sz w:val="20"/>
                <w:szCs w:val="20"/>
                <w:lang w:val="fr-CH"/>
              </w:rPr>
              <w:t>EFS</w:t>
            </w:r>
          </w:p>
        </w:tc>
        <w:tc>
          <w:tcPr>
            <w:tcW w:w="5265" w:type="dxa"/>
          </w:tcPr>
          <w:p w:rsidR="006F2361" w:rsidRPr="00EE01B4" w:rsidRDefault="006F2361" w:rsidP="007F2A42">
            <w:pPr>
              <w:rPr>
                <w:sz w:val="20"/>
                <w:szCs w:val="20"/>
                <w:lang w:val="fr-CH"/>
              </w:rPr>
            </w:pPr>
            <w:r w:rsidRPr="00EE01B4">
              <w:rPr>
                <w:sz w:val="20"/>
                <w:szCs w:val="20"/>
                <w:lang w:val="fr-CH"/>
              </w:rPr>
              <w:t>Réseau culturel Ramsar (rapport) :</w:t>
            </w:r>
          </w:p>
          <w:p w:rsidR="006F2361" w:rsidRPr="00EE01B4" w:rsidRDefault="006F2361" w:rsidP="007F2A42">
            <w:pPr>
              <w:rPr>
                <w:sz w:val="20"/>
                <w:szCs w:val="20"/>
                <w:lang w:val="fr-CH"/>
              </w:rPr>
            </w:pPr>
            <w:r w:rsidRPr="00EE01B4">
              <w:rPr>
                <w:sz w:val="20"/>
                <w:szCs w:val="20"/>
                <w:u w:val="single"/>
                <w:lang w:val="fr-CH"/>
              </w:rPr>
              <w:t>Résumé </w:t>
            </w:r>
            <w:r w:rsidRPr="00EE01B4">
              <w:rPr>
                <w:sz w:val="20"/>
                <w:szCs w:val="20"/>
                <w:lang w:val="fr-CH"/>
              </w:rPr>
              <w:t xml:space="preserve">: « Les Inventaires culturels rapides des zones humides sont un moyen simple et pratique de relever, rassembler et mettre </w:t>
            </w:r>
            <w:proofErr w:type="spellStart"/>
            <w:r w:rsidRPr="00EE01B4">
              <w:rPr>
                <w:sz w:val="20"/>
                <w:szCs w:val="20"/>
                <w:lang w:val="fr-CH"/>
              </w:rPr>
              <w:t>a</w:t>
            </w:r>
            <w:proofErr w:type="spellEnd"/>
            <w:r w:rsidRPr="00EE01B4">
              <w:rPr>
                <w:sz w:val="20"/>
                <w:szCs w:val="20"/>
                <w:lang w:val="fr-CH"/>
              </w:rPr>
              <w:t xml:space="preserve">̀ disposition des informations sur les valeurs et les pratiques culturelles notables associées </w:t>
            </w:r>
            <w:proofErr w:type="spellStart"/>
            <w:r w:rsidRPr="00EE01B4">
              <w:rPr>
                <w:sz w:val="20"/>
                <w:szCs w:val="20"/>
                <w:lang w:val="fr-CH"/>
              </w:rPr>
              <w:t>a</w:t>
            </w:r>
            <w:proofErr w:type="spellEnd"/>
            <w:r w:rsidRPr="00EE01B4">
              <w:rPr>
                <w:sz w:val="20"/>
                <w:szCs w:val="20"/>
                <w:lang w:val="fr-CH"/>
              </w:rPr>
              <w:t xml:space="preserve">̀ des zones humides déterminées. Ils peuvent être menés à différentes échelles. Les informations qu’ils apportent contribuent </w:t>
            </w:r>
            <w:proofErr w:type="spellStart"/>
            <w:r w:rsidRPr="00EE01B4">
              <w:rPr>
                <w:sz w:val="20"/>
                <w:szCs w:val="20"/>
                <w:lang w:val="fr-CH"/>
              </w:rPr>
              <w:t>a</w:t>
            </w:r>
            <w:proofErr w:type="spellEnd"/>
            <w:r w:rsidRPr="00EE01B4">
              <w:rPr>
                <w:sz w:val="20"/>
                <w:szCs w:val="20"/>
                <w:lang w:val="fr-CH"/>
              </w:rPr>
              <w:t>̀ la préservation du patrimoine culturel et à la réalisation de l’objectif de la Convention de Ramsar relatif à l’intégration d’aspects culturels à la gestion des Sites Ramsar et autres zones humides. »</w:t>
            </w:r>
          </w:p>
        </w:tc>
      </w:tr>
      <w:tr w:rsidR="006F2361" w:rsidRPr="00EE01B4" w:rsidTr="00D45DDB">
        <w:tc>
          <w:tcPr>
            <w:tcW w:w="3045" w:type="dxa"/>
          </w:tcPr>
          <w:p w:rsidR="006F2361" w:rsidRPr="00EE01B4" w:rsidRDefault="006F2361" w:rsidP="007F2A42">
            <w:pPr>
              <w:rPr>
                <w:rStyle w:val="Hyperlink"/>
                <w:sz w:val="20"/>
                <w:szCs w:val="20"/>
                <w:lang w:val="fr-CH"/>
              </w:rPr>
            </w:pPr>
            <w:r w:rsidRPr="00EE01B4">
              <w:rPr>
                <w:lang w:val="en-GB"/>
              </w:rPr>
              <w:fldChar w:fldCharType="begin"/>
            </w:r>
            <w:r w:rsidRPr="00EE01B4">
              <w:rPr>
                <w:sz w:val="20"/>
                <w:szCs w:val="20"/>
                <w:lang w:val="fr-CH"/>
              </w:rPr>
              <w:instrText xml:space="preserve"> HYPERLINK "https://www.ramsar.org/document/ramsar-and-world-heritage-conventions-converging-towards-success" </w:instrText>
            </w:r>
            <w:r w:rsidRPr="00EE01B4">
              <w:rPr>
                <w:lang w:val="en-GB"/>
              </w:rPr>
              <w:fldChar w:fldCharType="separate"/>
            </w:r>
            <w:r w:rsidRPr="00EE01B4">
              <w:rPr>
                <w:rStyle w:val="Hyperlink"/>
                <w:sz w:val="20"/>
                <w:szCs w:val="20"/>
                <w:lang w:val="fr-CH"/>
              </w:rPr>
              <w:t>Ramsar et la Convention du patrimoine mondial :</w:t>
            </w:r>
          </w:p>
          <w:p w:rsidR="006F2361" w:rsidRPr="00EE01B4" w:rsidRDefault="006F2361" w:rsidP="007F2A42">
            <w:pPr>
              <w:rPr>
                <w:sz w:val="20"/>
                <w:szCs w:val="20"/>
                <w:lang w:val="fr-CH"/>
              </w:rPr>
            </w:pPr>
            <w:r w:rsidRPr="00EE01B4">
              <w:rPr>
                <w:rStyle w:val="Hyperlink"/>
                <w:sz w:val="20"/>
                <w:szCs w:val="20"/>
                <w:lang w:val="fr-CH"/>
              </w:rPr>
              <w:t xml:space="preserve">au confluent du </w:t>
            </w:r>
            <w:proofErr w:type="spellStart"/>
            <w:r w:rsidRPr="00EE01B4">
              <w:rPr>
                <w:rStyle w:val="Hyperlink"/>
                <w:sz w:val="20"/>
                <w:szCs w:val="20"/>
                <w:lang w:val="fr-CH"/>
              </w:rPr>
              <w:t>succès</w:t>
            </w:r>
            <w:proofErr w:type="spellEnd"/>
            <w:r w:rsidRPr="00EE01B4">
              <w:rPr>
                <w:rStyle w:val="Hyperlink"/>
                <w:sz w:val="20"/>
                <w:szCs w:val="20"/>
                <w:lang w:val="fr-CH"/>
              </w:rPr>
              <w:fldChar w:fldCharType="end"/>
            </w:r>
            <w:r w:rsidRPr="00EE01B4">
              <w:rPr>
                <w:sz w:val="20"/>
                <w:szCs w:val="20"/>
                <w:lang w:val="fr-CH"/>
              </w:rPr>
              <w:t xml:space="preserve">. Comment les valeurs culturelles et la participation des communautés contribuent </w:t>
            </w:r>
            <w:proofErr w:type="spellStart"/>
            <w:r w:rsidRPr="00EE01B4">
              <w:rPr>
                <w:sz w:val="20"/>
                <w:szCs w:val="20"/>
                <w:lang w:val="fr-CH"/>
              </w:rPr>
              <w:t>a</w:t>
            </w:r>
            <w:proofErr w:type="spellEnd"/>
            <w:r w:rsidRPr="00EE01B4">
              <w:rPr>
                <w:sz w:val="20"/>
                <w:szCs w:val="20"/>
                <w:lang w:val="fr-CH"/>
              </w:rPr>
              <w:t>̀ la conservation de zones humides protégées au niveau international</w:t>
            </w:r>
          </w:p>
        </w:tc>
        <w:tc>
          <w:tcPr>
            <w:tcW w:w="2167" w:type="dxa"/>
          </w:tcPr>
          <w:p w:rsidR="006F2361" w:rsidRPr="00EE01B4" w:rsidRDefault="006F2361" w:rsidP="007F2A42">
            <w:pPr>
              <w:rPr>
                <w:rFonts w:cs="Arial"/>
                <w:sz w:val="20"/>
                <w:szCs w:val="20"/>
                <w:lang w:val="fr-CH"/>
              </w:rPr>
            </w:pPr>
          </w:p>
        </w:tc>
        <w:tc>
          <w:tcPr>
            <w:tcW w:w="2621" w:type="dxa"/>
          </w:tcPr>
          <w:p w:rsidR="006F2361" w:rsidRPr="00EE01B4" w:rsidRDefault="006F2361" w:rsidP="007F2A42">
            <w:pPr>
              <w:rPr>
                <w:rFonts w:cs="Arial"/>
                <w:sz w:val="20"/>
                <w:szCs w:val="20"/>
                <w:lang w:val="fr-CH"/>
              </w:rPr>
            </w:pPr>
          </w:p>
        </w:tc>
        <w:tc>
          <w:tcPr>
            <w:tcW w:w="1258" w:type="dxa"/>
          </w:tcPr>
          <w:p w:rsidR="006F2361" w:rsidRPr="00EE01B4" w:rsidRDefault="006F2361" w:rsidP="007F2A42">
            <w:pPr>
              <w:rPr>
                <w:rFonts w:cs="Arial"/>
                <w:sz w:val="20"/>
                <w:szCs w:val="20"/>
                <w:lang w:val="fr-CH"/>
              </w:rPr>
            </w:pPr>
          </w:p>
        </w:tc>
        <w:tc>
          <w:tcPr>
            <w:tcW w:w="1258" w:type="dxa"/>
          </w:tcPr>
          <w:p w:rsidR="006F2361" w:rsidRPr="00EE01B4" w:rsidRDefault="006F2361" w:rsidP="007F2A42">
            <w:pPr>
              <w:rPr>
                <w:rFonts w:cs="Arial"/>
                <w:sz w:val="20"/>
                <w:szCs w:val="20"/>
                <w:lang w:val="fr-CH"/>
              </w:rPr>
            </w:pPr>
            <w:r w:rsidRPr="00EE01B4">
              <w:rPr>
                <w:rFonts w:cs="Arial"/>
                <w:sz w:val="20"/>
                <w:szCs w:val="20"/>
                <w:lang w:val="fr-CH"/>
              </w:rPr>
              <w:t>EFS</w:t>
            </w:r>
          </w:p>
        </w:tc>
        <w:tc>
          <w:tcPr>
            <w:tcW w:w="5265" w:type="dxa"/>
          </w:tcPr>
          <w:p w:rsidR="006F2361" w:rsidRPr="00EE01B4" w:rsidRDefault="006F2361" w:rsidP="007F2A42">
            <w:pPr>
              <w:rPr>
                <w:rFonts w:cs="Arial"/>
                <w:sz w:val="20"/>
                <w:szCs w:val="20"/>
                <w:lang w:val="fr-CH"/>
              </w:rPr>
            </w:pPr>
            <w:r w:rsidRPr="00EE01B4">
              <w:rPr>
                <w:rFonts w:cs="Arial"/>
                <w:sz w:val="20"/>
                <w:szCs w:val="20"/>
                <w:lang w:val="fr-CH"/>
              </w:rPr>
              <w:t xml:space="preserve">Rapport destiné au Secrétariat de la Convention de Ramsar </w:t>
            </w:r>
          </w:p>
          <w:p w:rsidR="006F2361" w:rsidRPr="00EE01B4" w:rsidRDefault="006F2361" w:rsidP="007F2A42">
            <w:pPr>
              <w:rPr>
                <w:rFonts w:cs="Arial"/>
                <w:sz w:val="20"/>
                <w:szCs w:val="20"/>
                <w:lang w:val="fr-CH"/>
              </w:rPr>
            </w:pPr>
            <w:r w:rsidRPr="00EE01B4">
              <w:rPr>
                <w:rFonts w:cs="Arial"/>
                <w:sz w:val="20"/>
                <w:szCs w:val="20"/>
                <w:u w:val="single"/>
                <w:lang w:val="fr-CH"/>
              </w:rPr>
              <w:t>Résumé :</w:t>
            </w:r>
            <w:r w:rsidRPr="00EE01B4">
              <w:rPr>
                <w:rFonts w:cs="Arial"/>
                <w:sz w:val="20"/>
                <w:szCs w:val="20"/>
                <w:lang w:val="fr-CH"/>
              </w:rPr>
              <w:t xml:space="preserve"> Le présent rapport s'appuie sur les efforts en cours pour tirer des enseignements et fournir des orientations aux sites ayant plusieurs désignations internationales. Suite à l'étude de </w:t>
            </w:r>
            <w:proofErr w:type="spellStart"/>
            <w:r w:rsidRPr="00EE01B4">
              <w:rPr>
                <w:rFonts w:cs="Arial"/>
                <w:sz w:val="20"/>
                <w:szCs w:val="20"/>
                <w:lang w:val="fr-CH"/>
              </w:rPr>
              <w:t>Shaaf</w:t>
            </w:r>
            <w:proofErr w:type="spellEnd"/>
            <w:r w:rsidRPr="00EE01B4">
              <w:rPr>
                <w:rFonts w:cs="Arial"/>
                <w:sz w:val="20"/>
                <w:szCs w:val="20"/>
                <w:lang w:val="fr-CH"/>
              </w:rPr>
              <w:t xml:space="preserve"> et </w:t>
            </w:r>
            <w:proofErr w:type="spellStart"/>
            <w:r w:rsidRPr="00EE01B4">
              <w:rPr>
                <w:rFonts w:cs="Arial"/>
                <w:sz w:val="20"/>
                <w:szCs w:val="20"/>
                <w:lang w:val="fr-CH"/>
              </w:rPr>
              <w:t>Clamote</w:t>
            </w:r>
            <w:proofErr w:type="spellEnd"/>
            <w:r w:rsidRPr="00EE01B4">
              <w:rPr>
                <w:rFonts w:cs="Arial"/>
                <w:sz w:val="20"/>
                <w:szCs w:val="20"/>
                <w:lang w:val="fr-CH"/>
              </w:rPr>
              <w:t xml:space="preserve"> Rodrigues (2016), le rapport porte une attention particulière aux relations entre culture et zones humides d'importance internationale. </w:t>
            </w:r>
          </w:p>
        </w:tc>
      </w:tr>
      <w:tr w:rsidR="006F2361" w:rsidRPr="00EE01B4" w:rsidTr="00D45DDB">
        <w:tc>
          <w:tcPr>
            <w:tcW w:w="3045" w:type="dxa"/>
          </w:tcPr>
          <w:p w:rsidR="006F2361" w:rsidRPr="00EE01B4" w:rsidRDefault="00DF180B" w:rsidP="007F2A42">
            <w:pPr>
              <w:rPr>
                <w:sz w:val="20"/>
                <w:szCs w:val="20"/>
                <w:lang w:val="en-CA"/>
              </w:rPr>
            </w:pPr>
            <w:hyperlink r:id="rId67" w:history="1">
              <w:r w:rsidR="006F2361" w:rsidRPr="00EE01B4">
                <w:rPr>
                  <w:rStyle w:val="Hyperlink"/>
                  <w:sz w:val="20"/>
                  <w:szCs w:val="20"/>
                  <w:lang w:val="en-CA"/>
                </w:rPr>
                <w:t xml:space="preserve">The relationship of indigenous peoples and local communities </w:t>
              </w:r>
              <w:r w:rsidR="006F2361" w:rsidRPr="00EE01B4">
                <w:rPr>
                  <w:rStyle w:val="Hyperlink"/>
                  <w:sz w:val="20"/>
                  <w:szCs w:val="20"/>
                  <w:lang w:val="en-CA"/>
                </w:rPr>
                <w:lastRenderedPageBreak/>
                <w:t>with wetlands</w:t>
              </w:r>
            </w:hyperlink>
            <w:r w:rsidR="006F2361" w:rsidRPr="00EE01B4">
              <w:rPr>
                <w:sz w:val="20"/>
                <w:szCs w:val="20"/>
                <w:lang w:val="en-CA"/>
              </w:rPr>
              <w:t>: Un rapport initial</w:t>
            </w:r>
          </w:p>
        </w:tc>
        <w:tc>
          <w:tcPr>
            <w:tcW w:w="2167" w:type="dxa"/>
          </w:tcPr>
          <w:p w:rsidR="006F2361" w:rsidRPr="00EE01B4" w:rsidRDefault="006F2361" w:rsidP="007F2A42">
            <w:pPr>
              <w:rPr>
                <w:rFonts w:cs="Arial"/>
                <w:sz w:val="20"/>
                <w:szCs w:val="20"/>
                <w:lang w:val="en-CA"/>
              </w:rPr>
            </w:pPr>
          </w:p>
        </w:tc>
        <w:tc>
          <w:tcPr>
            <w:tcW w:w="2621" w:type="dxa"/>
          </w:tcPr>
          <w:p w:rsidR="006F2361" w:rsidRPr="00EE01B4" w:rsidRDefault="006F2361" w:rsidP="007F2A42">
            <w:pPr>
              <w:rPr>
                <w:rFonts w:cs="Arial"/>
                <w:sz w:val="20"/>
                <w:szCs w:val="20"/>
                <w:lang w:val="en-CA"/>
              </w:rPr>
            </w:pPr>
          </w:p>
        </w:tc>
        <w:tc>
          <w:tcPr>
            <w:tcW w:w="1258" w:type="dxa"/>
          </w:tcPr>
          <w:p w:rsidR="006F2361" w:rsidRPr="00EE01B4" w:rsidRDefault="006F2361" w:rsidP="007F2A42">
            <w:pPr>
              <w:rPr>
                <w:rFonts w:cs="Arial"/>
                <w:sz w:val="20"/>
                <w:szCs w:val="20"/>
                <w:lang w:val="en-CA"/>
              </w:rPr>
            </w:pPr>
          </w:p>
        </w:tc>
        <w:tc>
          <w:tcPr>
            <w:tcW w:w="1258" w:type="dxa"/>
          </w:tcPr>
          <w:p w:rsidR="006F2361" w:rsidRPr="00EE01B4" w:rsidRDefault="006F2361" w:rsidP="007F2A42">
            <w:pPr>
              <w:rPr>
                <w:rFonts w:cs="Arial"/>
                <w:sz w:val="20"/>
                <w:szCs w:val="20"/>
                <w:lang w:val="fr-CH"/>
              </w:rPr>
            </w:pPr>
            <w:r w:rsidRPr="00EE01B4">
              <w:rPr>
                <w:rFonts w:cs="Arial"/>
                <w:sz w:val="20"/>
                <w:szCs w:val="20"/>
                <w:lang w:val="fr-CH"/>
              </w:rPr>
              <w:t>E</w:t>
            </w:r>
          </w:p>
        </w:tc>
        <w:tc>
          <w:tcPr>
            <w:tcW w:w="5265" w:type="dxa"/>
          </w:tcPr>
          <w:p w:rsidR="006F2361" w:rsidRPr="00EE01B4" w:rsidRDefault="006F2361" w:rsidP="007F2A42">
            <w:pPr>
              <w:rPr>
                <w:rFonts w:cs="Arial"/>
                <w:sz w:val="20"/>
                <w:szCs w:val="20"/>
                <w:lang w:val="fr-CH"/>
              </w:rPr>
            </w:pPr>
            <w:r w:rsidRPr="00EE01B4">
              <w:rPr>
                <w:rFonts w:cs="Arial"/>
                <w:sz w:val="20"/>
                <w:szCs w:val="20"/>
                <w:lang w:val="fr-CH"/>
              </w:rPr>
              <w:t>Rapport de consultation publié par le Secrétariat Ramsar</w:t>
            </w:r>
          </w:p>
          <w:p w:rsidR="006F2361" w:rsidRPr="00EE01B4" w:rsidRDefault="006F2361" w:rsidP="007F2A42">
            <w:pPr>
              <w:rPr>
                <w:rFonts w:cs="Arial"/>
                <w:sz w:val="20"/>
                <w:szCs w:val="20"/>
                <w:lang w:val="fr-CH"/>
              </w:rPr>
            </w:pPr>
            <w:r w:rsidRPr="00EE01B4">
              <w:rPr>
                <w:rFonts w:cs="Arial"/>
                <w:sz w:val="20"/>
                <w:szCs w:val="20"/>
                <w:u w:val="single"/>
                <w:lang w:val="fr-CH"/>
              </w:rPr>
              <w:t>Résumé :</w:t>
            </w:r>
            <w:r w:rsidRPr="00EE01B4">
              <w:rPr>
                <w:rFonts w:cs="Arial"/>
                <w:sz w:val="20"/>
                <w:szCs w:val="20"/>
                <w:lang w:val="fr-CH"/>
              </w:rPr>
              <w:t xml:space="preserve"> Le rapport contient : Un examen du Cadre </w:t>
            </w:r>
            <w:r w:rsidRPr="00EE01B4">
              <w:rPr>
                <w:rFonts w:cs="Arial"/>
                <w:sz w:val="20"/>
                <w:szCs w:val="20"/>
                <w:lang w:val="fr-CH"/>
              </w:rPr>
              <w:lastRenderedPageBreak/>
              <w:t>stratégique de la Convention de Ramsar en ce qui concerne les populations autochtones et les communautés locales et la conservation des zones humides ; une analyse des enseignements tirés des expériences nationales ; des réflexions sur la voie à suivre, notamment sur les évolutions dans ce domaine.</w:t>
            </w:r>
          </w:p>
          <w:p w:rsidR="006F2361" w:rsidRPr="00EE01B4" w:rsidRDefault="006F2361" w:rsidP="007F2A42">
            <w:pPr>
              <w:rPr>
                <w:rFonts w:cs="Arial"/>
                <w:sz w:val="20"/>
                <w:szCs w:val="20"/>
                <w:lang w:val="fr-CH"/>
              </w:rPr>
            </w:pPr>
            <w:r w:rsidRPr="00EE01B4">
              <w:rPr>
                <w:rFonts w:cs="Arial"/>
                <w:sz w:val="20"/>
                <w:szCs w:val="20"/>
                <w:lang w:val="fr-CH"/>
              </w:rPr>
              <w:t xml:space="preserve"> </w:t>
            </w:r>
          </w:p>
        </w:tc>
      </w:tr>
      <w:tr w:rsidR="006F2361" w:rsidRPr="00EE01B4" w:rsidTr="00D45DDB">
        <w:tc>
          <w:tcPr>
            <w:tcW w:w="3045" w:type="dxa"/>
          </w:tcPr>
          <w:p w:rsidR="006F2361" w:rsidRPr="00EE01B4" w:rsidRDefault="00DF180B" w:rsidP="007F2A42">
            <w:pPr>
              <w:rPr>
                <w:sz w:val="20"/>
                <w:szCs w:val="20"/>
                <w:lang w:val="fr-CH"/>
              </w:rPr>
            </w:pPr>
            <w:hyperlink r:id="rId68" w:history="1">
              <w:r w:rsidR="006F2361" w:rsidRPr="00EE01B4">
                <w:rPr>
                  <w:rStyle w:val="Hyperlink"/>
                  <w:sz w:val="20"/>
                  <w:szCs w:val="20"/>
                  <w:lang w:val="fr-CH"/>
                </w:rPr>
                <w:t>Gérer les SDIM : harmoniser la gestion des sites à désignations internationales multiples</w:t>
              </w:r>
            </w:hyperlink>
          </w:p>
        </w:tc>
        <w:tc>
          <w:tcPr>
            <w:tcW w:w="2167" w:type="dxa"/>
          </w:tcPr>
          <w:p w:rsidR="006F2361" w:rsidRPr="00EE01B4" w:rsidRDefault="006F2361" w:rsidP="007F2A42">
            <w:pPr>
              <w:rPr>
                <w:rFonts w:cs="Arial"/>
                <w:sz w:val="20"/>
                <w:szCs w:val="20"/>
                <w:lang w:val="fr-CH"/>
              </w:rPr>
            </w:pPr>
          </w:p>
        </w:tc>
        <w:tc>
          <w:tcPr>
            <w:tcW w:w="2621" w:type="dxa"/>
          </w:tcPr>
          <w:p w:rsidR="006F2361" w:rsidRPr="00EE01B4" w:rsidRDefault="006F2361" w:rsidP="007F2A42">
            <w:pPr>
              <w:rPr>
                <w:rFonts w:cs="Arial"/>
                <w:sz w:val="20"/>
                <w:szCs w:val="20"/>
                <w:lang w:val="fr-CH"/>
              </w:rPr>
            </w:pPr>
          </w:p>
        </w:tc>
        <w:tc>
          <w:tcPr>
            <w:tcW w:w="1258" w:type="dxa"/>
          </w:tcPr>
          <w:p w:rsidR="006F2361" w:rsidRPr="00EE01B4" w:rsidRDefault="006F2361" w:rsidP="007F2A42">
            <w:pPr>
              <w:rPr>
                <w:rFonts w:cs="Arial"/>
                <w:sz w:val="20"/>
                <w:szCs w:val="20"/>
                <w:lang w:val="fr-CH"/>
              </w:rPr>
            </w:pPr>
          </w:p>
        </w:tc>
        <w:tc>
          <w:tcPr>
            <w:tcW w:w="1258" w:type="dxa"/>
          </w:tcPr>
          <w:p w:rsidR="006F2361" w:rsidRPr="00EE01B4" w:rsidRDefault="006F2361" w:rsidP="007F2A42">
            <w:pPr>
              <w:rPr>
                <w:rFonts w:cs="Arial"/>
                <w:sz w:val="20"/>
                <w:szCs w:val="20"/>
                <w:lang w:val="fr-CH"/>
              </w:rPr>
            </w:pPr>
            <w:r w:rsidRPr="00EE01B4">
              <w:rPr>
                <w:rFonts w:cs="Arial"/>
                <w:sz w:val="20"/>
                <w:szCs w:val="20"/>
                <w:lang w:val="fr-CH"/>
              </w:rPr>
              <w:t>EFSK</w:t>
            </w:r>
          </w:p>
        </w:tc>
        <w:tc>
          <w:tcPr>
            <w:tcW w:w="5265" w:type="dxa"/>
          </w:tcPr>
          <w:p w:rsidR="006F2361" w:rsidRPr="00EE01B4" w:rsidRDefault="006F2361" w:rsidP="007F2A42">
            <w:pPr>
              <w:rPr>
                <w:rFonts w:cs="Arial"/>
                <w:sz w:val="20"/>
                <w:szCs w:val="20"/>
                <w:lang w:val="fr-CH"/>
              </w:rPr>
            </w:pPr>
            <w:r w:rsidRPr="00EE01B4">
              <w:rPr>
                <w:rFonts w:cs="Arial"/>
                <w:sz w:val="20"/>
                <w:szCs w:val="20"/>
                <w:lang w:val="fr-CH"/>
              </w:rPr>
              <w:t>UICN:</w:t>
            </w:r>
          </w:p>
          <w:p w:rsidR="006F2361" w:rsidRPr="00EE01B4" w:rsidRDefault="006F2361" w:rsidP="007F2A42">
            <w:pPr>
              <w:rPr>
                <w:rFonts w:cs="Arial"/>
                <w:sz w:val="20"/>
                <w:szCs w:val="20"/>
                <w:lang w:val="fr-CH"/>
              </w:rPr>
            </w:pPr>
            <w:r w:rsidRPr="00EE01B4">
              <w:rPr>
                <w:rFonts w:cs="Arial"/>
                <w:sz w:val="20"/>
                <w:szCs w:val="20"/>
                <w:u w:val="single"/>
                <w:lang w:val="fr-CH"/>
              </w:rPr>
              <w:t xml:space="preserve">Résumé </w:t>
            </w:r>
            <w:r w:rsidRPr="00EE01B4">
              <w:rPr>
                <w:rFonts w:cs="Arial"/>
                <w:sz w:val="20"/>
                <w:szCs w:val="20"/>
                <w:lang w:val="fr-CH"/>
              </w:rPr>
              <w:t xml:space="preserve">: « Un site à désignation internationale (SDI) est un site naturel reconnu au niveau par un mécanisme de désignation régional ou mondial. Parmi eux figurent 263 aires dans lesquelles différentes SDI se chevauchent, entièrement ou partiellement, ce qui double ou triple, voire quadruple les désignations internationales. Dans le cadre de cette publication, ces sites sont dénommés sites à désignations internationales multiples (SDIM). Ce manuel, qui fait suite à la résolution WCC-2012-Res-052-FR adoptée lors du Congrès de la nature de l'UICN (île de </w:t>
            </w:r>
            <w:proofErr w:type="spellStart"/>
            <w:r w:rsidRPr="00EE01B4">
              <w:rPr>
                <w:rFonts w:cs="Arial"/>
                <w:sz w:val="20"/>
                <w:szCs w:val="20"/>
                <w:lang w:val="fr-CH"/>
              </w:rPr>
              <w:t>Jeju</w:t>
            </w:r>
            <w:proofErr w:type="spellEnd"/>
            <w:r w:rsidRPr="00EE01B4">
              <w:rPr>
                <w:rFonts w:cs="Arial"/>
                <w:sz w:val="20"/>
                <w:szCs w:val="20"/>
                <w:lang w:val="fr-CH"/>
              </w:rPr>
              <w:t>, République de Corée, septembre 2012), traite de questions spécifiques liées à la gestion des SDIM et inclut des recommandations à l'adresse des parties-prenants locales, nationales et internationales des SDIM pour l'harmonisation de la gestion, la conservation systématique et l'utilisation durable de ces sites. »</w:t>
            </w:r>
          </w:p>
        </w:tc>
      </w:tr>
      <w:tr w:rsidR="006F2361" w:rsidRPr="00EE01B4" w:rsidTr="00D45DDB">
        <w:tc>
          <w:tcPr>
            <w:tcW w:w="3045" w:type="dxa"/>
          </w:tcPr>
          <w:p w:rsidR="006F2361" w:rsidRPr="00EE01B4" w:rsidRDefault="00DF180B" w:rsidP="007F2A42">
            <w:pPr>
              <w:rPr>
                <w:sz w:val="20"/>
                <w:szCs w:val="20"/>
                <w:lang w:val="en-CA"/>
              </w:rPr>
            </w:pPr>
            <w:hyperlink r:id="rId69" w:history="1">
              <w:r w:rsidR="006F2361" w:rsidRPr="00EE01B4">
                <w:rPr>
                  <w:rStyle w:val="Hyperlink"/>
                  <w:sz w:val="20"/>
                  <w:szCs w:val="20"/>
                  <w:lang w:val="en-CA"/>
                </w:rPr>
                <w:t>Guidelines for species conservation planning (version 1.0)</w:t>
              </w:r>
            </w:hyperlink>
          </w:p>
        </w:tc>
        <w:tc>
          <w:tcPr>
            <w:tcW w:w="2167" w:type="dxa"/>
          </w:tcPr>
          <w:p w:rsidR="006F2361" w:rsidRPr="00EE01B4" w:rsidRDefault="006F2361" w:rsidP="007F2A42">
            <w:pPr>
              <w:rPr>
                <w:rFonts w:cs="Arial"/>
                <w:sz w:val="20"/>
                <w:szCs w:val="20"/>
                <w:lang w:val="en-CA"/>
              </w:rPr>
            </w:pPr>
          </w:p>
        </w:tc>
        <w:tc>
          <w:tcPr>
            <w:tcW w:w="2621" w:type="dxa"/>
          </w:tcPr>
          <w:p w:rsidR="006F2361" w:rsidRPr="00EE01B4" w:rsidRDefault="006F2361" w:rsidP="007F2A42">
            <w:pPr>
              <w:rPr>
                <w:rFonts w:cs="Arial"/>
                <w:sz w:val="20"/>
                <w:szCs w:val="20"/>
                <w:lang w:val="en-CA"/>
              </w:rPr>
            </w:pPr>
          </w:p>
        </w:tc>
        <w:tc>
          <w:tcPr>
            <w:tcW w:w="1258" w:type="dxa"/>
          </w:tcPr>
          <w:p w:rsidR="006F2361" w:rsidRPr="00EE01B4" w:rsidRDefault="006F2361" w:rsidP="007F2A42">
            <w:pPr>
              <w:rPr>
                <w:rFonts w:cs="Arial"/>
                <w:sz w:val="20"/>
                <w:szCs w:val="20"/>
                <w:lang w:val="en-CA"/>
              </w:rPr>
            </w:pPr>
          </w:p>
        </w:tc>
        <w:tc>
          <w:tcPr>
            <w:tcW w:w="1258" w:type="dxa"/>
          </w:tcPr>
          <w:p w:rsidR="006F2361" w:rsidRPr="00EE01B4" w:rsidRDefault="006F2361" w:rsidP="007F2A42">
            <w:pPr>
              <w:rPr>
                <w:rFonts w:cs="Arial"/>
                <w:sz w:val="20"/>
                <w:szCs w:val="20"/>
                <w:lang w:val="fr-CH"/>
              </w:rPr>
            </w:pPr>
            <w:r w:rsidRPr="00EE01B4">
              <w:rPr>
                <w:rFonts w:cs="Arial"/>
                <w:sz w:val="20"/>
                <w:szCs w:val="20"/>
                <w:lang w:val="fr-CH"/>
              </w:rPr>
              <w:t>E</w:t>
            </w:r>
          </w:p>
        </w:tc>
        <w:tc>
          <w:tcPr>
            <w:tcW w:w="5265" w:type="dxa"/>
          </w:tcPr>
          <w:p w:rsidR="006F2361" w:rsidRPr="00EE01B4" w:rsidRDefault="006F2361" w:rsidP="007F2A42">
            <w:pPr>
              <w:rPr>
                <w:rFonts w:cs="Arial"/>
                <w:sz w:val="20"/>
                <w:szCs w:val="20"/>
                <w:lang w:val="fr-CH"/>
              </w:rPr>
            </w:pPr>
            <w:r w:rsidRPr="00EE01B4">
              <w:rPr>
                <w:rFonts w:cs="Arial"/>
                <w:sz w:val="20"/>
                <w:szCs w:val="20"/>
                <w:lang w:val="fr-CH"/>
              </w:rPr>
              <w:t>UICN:</w:t>
            </w:r>
          </w:p>
          <w:p w:rsidR="006F2361" w:rsidRPr="00EE01B4" w:rsidRDefault="006F2361" w:rsidP="007F2A42">
            <w:pPr>
              <w:rPr>
                <w:rFonts w:cs="Arial"/>
                <w:sz w:val="20"/>
                <w:szCs w:val="20"/>
                <w:lang w:val="fr-CH"/>
              </w:rPr>
            </w:pPr>
            <w:r w:rsidRPr="00EE01B4">
              <w:rPr>
                <w:rFonts w:cs="Arial"/>
                <w:sz w:val="20"/>
                <w:szCs w:val="20"/>
                <w:u w:val="single"/>
                <w:lang w:val="fr-CH"/>
              </w:rPr>
              <w:t>Résumé</w:t>
            </w:r>
            <w:r w:rsidRPr="00EE01B4">
              <w:rPr>
                <w:rFonts w:cs="Arial"/>
                <w:sz w:val="20"/>
                <w:szCs w:val="20"/>
                <w:lang w:val="fr-CH"/>
              </w:rPr>
              <w:t xml:space="preserve"> : Les Lignes directrices sont conçues pour s’appliquer de façon pertinente à tous les taxons de la Terre. L'expérience a révélé récemment qu'il n'existe pas deux plans identiques. Ainsi, bien que les principes de planification soient constants, le but de la planification et les circonstances, les informations disponibles et leur exactitude, en plus d'autres facteurs, font que chaque situation est unique. Il convient donc d’avoir un processus de planification à la fois rigoureux sur le plan de l'analyse et souple dans son application. Ces lignes directrices constituent une évolution fondée sur l'expérience plutôt qu'un remplacement fondamental du Manuel de 2008.</w:t>
            </w:r>
          </w:p>
        </w:tc>
      </w:tr>
      <w:tr w:rsidR="006F2361" w:rsidRPr="00EE01B4" w:rsidTr="00D45DDB">
        <w:tc>
          <w:tcPr>
            <w:tcW w:w="3045" w:type="dxa"/>
          </w:tcPr>
          <w:p w:rsidR="006F2361" w:rsidRPr="00EE01B4" w:rsidRDefault="00DF180B" w:rsidP="007F2A42">
            <w:pPr>
              <w:rPr>
                <w:sz w:val="20"/>
                <w:szCs w:val="20"/>
                <w:lang w:val="en-CA"/>
              </w:rPr>
            </w:pPr>
            <w:hyperlink r:id="rId70" w:history="1">
              <w:r w:rsidR="006F2361" w:rsidRPr="00EE01B4">
                <w:rPr>
                  <w:rStyle w:val="Hyperlink"/>
                  <w:sz w:val="20"/>
                  <w:szCs w:val="20"/>
                  <w:lang w:val="en-CA"/>
                </w:rPr>
                <w:t>World Heritage, Wilderness and Large Landscapes and Seascapes</w:t>
              </w:r>
            </w:hyperlink>
          </w:p>
        </w:tc>
        <w:tc>
          <w:tcPr>
            <w:tcW w:w="2167" w:type="dxa"/>
          </w:tcPr>
          <w:p w:rsidR="006F2361" w:rsidRPr="00EE01B4" w:rsidRDefault="006F2361" w:rsidP="007F2A42">
            <w:pPr>
              <w:rPr>
                <w:rFonts w:cs="Arial"/>
                <w:sz w:val="20"/>
                <w:szCs w:val="20"/>
                <w:lang w:val="en-CA"/>
              </w:rPr>
            </w:pPr>
          </w:p>
        </w:tc>
        <w:tc>
          <w:tcPr>
            <w:tcW w:w="2621" w:type="dxa"/>
          </w:tcPr>
          <w:p w:rsidR="006F2361" w:rsidRPr="00EE01B4" w:rsidRDefault="006F2361" w:rsidP="007F2A42">
            <w:pPr>
              <w:rPr>
                <w:rFonts w:cs="Arial"/>
                <w:sz w:val="20"/>
                <w:szCs w:val="20"/>
                <w:lang w:val="en-CA"/>
              </w:rPr>
            </w:pPr>
          </w:p>
        </w:tc>
        <w:tc>
          <w:tcPr>
            <w:tcW w:w="1258" w:type="dxa"/>
          </w:tcPr>
          <w:p w:rsidR="006F2361" w:rsidRPr="00EE01B4" w:rsidRDefault="006F2361" w:rsidP="007F2A42">
            <w:pPr>
              <w:rPr>
                <w:rFonts w:cs="Arial"/>
                <w:sz w:val="20"/>
                <w:szCs w:val="20"/>
                <w:lang w:val="en-CA"/>
              </w:rPr>
            </w:pPr>
          </w:p>
        </w:tc>
        <w:tc>
          <w:tcPr>
            <w:tcW w:w="1258" w:type="dxa"/>
          </w:tcPr>
          <w:p w:rsidR="006F2361" w:rsidRPr="00EE01B4" w:rsidRDefault="006F2361" w:rsidP="007F2A42">
            <w:pPr>
              <w:rPr>
                <w:rFonts w:cs="Arial"/>
                <w:sz w:val="20"/>
                <w:szCs w:val="20"/>
                <w:lang w:val="fr-CH"/>
              </w:rPr>
            </w:pPr>
            <w:r w:rsidRPr="00EE01B4">
              <w:rPr>
                <w:rFonts w:cs="Arial"/>
                <w:sz w:val="20"/>
                <w:szCs w:val="20"/>
                <w:lang w:val="fr-CH"/>
              </w:rPr>
              <w:t>E</w:t>
            </w:r>
          </w:p>
        </w:tc>
        <w:tc>
          <w:tcPr>
            <w:tcW w:w="5265" w:type="dxa"/>
          </w:tcPr>
          <w:p w:rsidR="006F2361" w:rsidRPr="00EE01B4" w:rsidRDefault="006F2361" w:rsidP="007F2A42">
            <w:pPr>
              <w:rPr>
                <w:rFonts w:cs="Arial"/>
                <w:sz w:val="20"/>
                <w:szCs w:val="20"/>
                <w:lang w:val="fr-CH"/>
              </w:rPr>
            </w:pPr>
            <w:r w:rsidRPr="00EE01B4">
              <w:rPr>
                <w:rFonts w:cs="Arial"/>
                <w:sz w:val="20"/>
                <w:szCs w:val="20"/>
                <w:lang w:val="fr-CH"/>
              </w:rPr>
              <w:t>UICN:</w:t>
            </w:r>
          </w:p>
          <w:p w:rsidR="006F2361" w:rsidRPr="00EE01B4" w:rsidRDefault="006F2361" w:rsidP="007F2A42">
            <w:pPr>
              <w:rPr>
                <w:rFonts w:cs="Arial"/>
                <w:sz w:val="20"/>
                <w:szCs w:val="20"/>
                <w:lang w:val="fr-CH"/>
              </w:rPr>
            </w:pPr>
            <w:r w:rsidRPr="00EE01B4">
              <w:rPr>
                <w:rFonts w:cs="Arial"/>
                <w:sz w:val="20"/>
                <w:szCs w:val="20"/>
                <w:u w:val="single"/>
                <w:lang w:val="fr-CH"/>
              </w:rPr>
              <w:t xml:space="preserve">Résumé </w:t>
            </w:r>
            <w:r w:rsidRPr="00EE01B4">
              <w:rPr>
                <w:rFonts w:cs="Arial"/>
                <w:sz w:val="20"/>
                <w:szCs w:val="20"/>
                <w:lang w:val="fr-CH"/>
              </w:rPr>
              <w:t xml:space="preserve">: Cette étude thématique se concentre sur la contribution que la Convention concernant la protection du </w:t>
            </w:r>
            <w:r w:rsidRPr="00EE01B4">
              <w:rPr>
                <w:rFonts w:cs="Arial"/>
                <w:sz w:val="20"/>
                <w:szCs w:val="20"/>
                <w:lang w:val="fr-CH"/>
              </w:rPr>
              <w:lastRenderedPageBreak/>
              <w:t>patrimoine mondial, culturel et naturel (UNESCO 1972), communément appelée la Convention du patrimoine mondial («  la Convention </w:t>
            </w:r>
            <w:proofErr w:type="gramStart"/>
            <w:r w:rsidRPr="00EE01B4">
              <w:rPr>
                <w:rFonts w:cs="Arial"/>
                <w:sz w:val="20"/>
                <w:szCs w:val="20"/>
                <w:lang w:val="fr-CH"/>
              </w:rPr>
              <w:t>» )</w:t>
            </w:r>
            <w:proofErr w:type="gramEnd"/>
            <w:r w:rsidRPr="00EE01B4">
              <w:rPr>
                <w:rFonts w:cs="Arial"/>
                <w:sz w:val="20"/>
                <w:szCs w:val="20"/>
                <w:lang w:val="fr-CH"/>
              </w:rPr>
              <w:t>, peut apporter à la conservation de la nature dans le monde.</w:t>
            </w:r>
          </w:p>
        </w:tc>
      </w:tr>
      <w:tr w:rsidR="00557A68" w:rsidRPr="00EE01B4" w:rsidTr="009D62D8">
        <w:tc>
          <w:tcPr>
            <w:tcW w:w="15614" w:type="dxa"/>
            <w:gridSpan w:val="6"/>
            <w:shd w:val="clear" w:color="auto" w:fill="FBD4B4" w:themeFill="accent6" w:themeFillTint="66"/>
          </w:tcPr>
          <w:p w:rsidR="00557A68" w:rsidRPr="00EE01B4" w:rsidRDefault="00557A68" w:rsidP="00B5352E">
            <w:pPr>
              <w:rPr>
                <w:rFonts w:cs="Arial"/>
                <w:sz w:val="20"/>
                <w:szCs w:val="20"/>
                <w:lang w:val="en-GB"/>
              </w:rPr>
            </w:pPr>
            <w:r w:rsidRPr="00EE01B4">
              <w:rPr>
                <w:rFonts w:cs="Arial"/>
                <w:b/>
                <w:sz w:val="20"/>
                <w:szCs w:val="20"/>
                <w:lang w:val="fr-CH"/>
              </w:rPr>
              <w:lastRenderedPageBreak/>
              <w:t>Jusqu’en 2015</w:t>
            </w:r>
          </w:p>
        </w:tc>
      </w:tr>
      <w:tr w:rsidR="006F2361" w:rsidRPr="00DF180B" w:rsidTr="00D45DDB">
        <w:tc>
          <w:tcPr>
            <w:tcW w:w="3045" w:type="dxa"/>
          </w:tcPr>
          <w:p w:rsidR="006F2361" w:rsidRPr="00EE01B4" w:rsidRDefault="00DF180B" w:rsidP="00B5352E">
            <w:pPr>
              <w:spacing w:after="40"/>
              <w:rPr>
                <w:color w:val="FF0000"/>
                <w:sz w:val="20"/>
                <w:szCs w:val="20"/>
                <w:lang w:val="en-GB"/>
              </w:rPr>
            </w:pPr>
            <w:hyperlink r:id="rId71" w:history="1">
              <w:r w:rsidR="006F2361" w:rsidRPr="00EE01B4">
                <w:rPr>
                  <w:rStyle w:val="Hyperlink"/>
                  <w:sz w:val="20"/>
                  <w:szCs w:val="20"/>
                  <w:lang w:val="en-GB"/>
                </w:rPr>
                <w:t>Wetland Resources Action Planning (WRAP) Toolkit</w:t>
              </w:r>
            </w:hyperlink>
          </w:p>
        </w:tc>
        <w:tc>
          <w:tcPr>
            <w:tcW w:w="2167" w:type="dxa"/>
          </w:tcPr>
          <w:p w:rsidR="006F2361" w:rsidRPr="00EE01B4" w:rsidRDefault="006F2361" w:rsidP="00B5352E">
            <w:pPr>
              <w:rPr>
                <w:rFonts w:cs="Arial"/>
                <w:sz w:val="20"/>
                <w:szCs w:val="20"/>
                <w:lang w:val="en-GB"/>
              </w:rPr>
            </w:pPr>
          </w:p>
        </w:tc>
        <w:tc>
          <w:tcPr>
            <w:tcW w:w="2621" w:type="dxa"/>
          </w:tcPr>
          <w:p w:rsidR="006F2361" w:rsidRPr="00EE01B4" w:rsidRDefault="006F2361" w:rsidP="00B5352E">
            <w:pPr>
              <w:rPr>
                <w:rFonts w:cs="Arial"/>
                <w:sz w:val="20"/>
                <w:szCs w:val="20"/>
                <w:lang w:val="en-GB"/>
              </w:rPr>
            </w:pPr>
          </w:p>
        </w:tc>
        <w:tc>
          <w:tcPr>
            <w:tcW w:w="1258" w:type="dxa"/>
          </w:tcPr>
          <w:p w:rsidR="006F2361" w:rsidRPr="00EE01B4" w:rsidRDefault="006F2361" w:rsidP="00B5352E">
            <w:pPr>
              <w:rPr>
                <w:rFonts w:cs="Arial"/>
                <w:sz w:val="20"/>
                <w:szCs w:val="20"/>
                <w:lang w:val="en-GB"/>
              </w:rPr>
            </w:pPr>
          </w:p>
        </w:tc>
        <w:tc>
          <w:tcPr>
            <w:tcW w:w="1258" w:type="dxa"/>
          </w:tcPr>
          <w:p w:rsidR="006F2361" w:rsidRPr="00EE01B4" w:rsidRDefault="006F2361" w:rsidP="00B5352E">
            <w:pPr>
              <w:rPr>
                <w:rFonts w:cs="Arial"/>
                <w:sz w:val="20"/>
                <w:szCs w:val="20"/>
                <w:lang w:val="en-GB"/>
              </w:rPr>
            </w:pPr>
          </w:p>
        </w:tc>
        <w:tc>
          <w:tcPr>
            <w:tcW w:w="5265" w:type="dxa"/>
          </w:tcPr>
          <w:p w:rsidR="006F2361" w:rsidRPr="00EE01B4" w:rsidRDefault="006F2361" w:rsidP="00B5352E">
            <w:pPr>
              <w:rPr>
                <w:rFonts w:cs="Arial"/>
                <w:sz w:val="20"/>
                <w:szCs w:val="20"/>
                <w:lang w:val="en-GB"/>
              </w:rPr>
            </w:pPr>
          </w:p>
        </w:tc>
      </w:tr>
      <w:tr w:rsidR="006F2361" w:rsidRPr="00EE01B4" w:rsidTr="00D45DDB">
        <w:tc>
          <w:tcPr>
            <w:tcW w:w="3045" w:type="dxa"/>
          </w:tcPr>
          <w:p w:rsidR="006F2361" w:rsidRPr="00EE01B4" w:rsidRDefault="00DF180B" w:rsidP="00B5352E">
            <w:pPr>
              <w:spacing w:after="40"/>
              <w:rPr>
                <w:color w:val="0000FF" w:themeColor="hyperlink"/>
                <w:sz w:val="20"/>
                <w:szCs w:val="20"/>
                <w:u w:val="single"/>
                <w:lang w:val="en-GB"/>
              </w:rPr>
            </w:pPr>
            <w:hyperlink r:id="rId72" w:history="1">
              <w:r w:rsidR="006F2361" w:rsidRPr="00EE01B4">
                <w:rPr>
                  <w:rStyle w:val="Hyperlink"/>
                  <w:sz w:val="20"/>
                  <w:szCs w:val="20"/>
                  <w:lang w:val="en-GB"/>
                </w:rPr>
                <w:t>An Integrated Wetland Assessment Toolkit: A guide to good practice</w:t>
              </w:r>
            </w:hyperlink>
            <w:r w:rsidR="006F2361" w:rsidRPr="00EE01B4">
              <w:rPr>
                <w:rStyle w:val="Hyperlink"/>
                <w:sz w:val="20"/>
                <w:szCs w:val="20"/>
                <w:lang w:val="en-GB"/>
              </w:rPr>
              <w:t xml:space="preserve"> </w:t>
            </w:r>
            <w:r w:rsidR="006F2361" w:rsidRPr="00EE01B4">
              <w:rPr>
                <w:color w:val="FF0000"/>
                <w:sz w:val="20"/>
                <w:szCs w:val="20"/>
                <w:lang w:val="en-GB"/>
              </w:rPr>
              <w:t xml:space="preserve">  </w:t>
            </w:r>
          </w:p>
        </w:tc>
        <w:tc>
          <w:tcPr>
            <w:tcW w:w="2167" w:type="dxa"/>
          </w:tcPr>
          <w:p w:rsidR="006F2361" w:rsidRPr="00EE01B4" w:rsidRDefault="006F2361" w:rsidP="00B5352E">
            <w:pPr>
              <w:rPr>
                <w:rFonts w:cs="Arial"/>
                <w:sz w:val="20"/>
                <w:szCs w:val="20"/>
                <w:lang w:val="en-GB"/>
              </w:rPr>
            </w:pPr>
          </w:p>
        </w:tc>
        <w:tc>
          <w:tcPr>
            <w:tcW w:w="2621" w:type="dxa"/>
          </w:tcPr>
          <w:p w:rsidR="006F2361" w:rsidRPr="00EE01B4" w:rsidRDefault="006F2361" w:rsidP="00B5352E">
            <w:pPr>
              <w:rPr>
                <w:rFonts w:cs="Arial"/>
                <w:sz w:val="20"/>
                <w:szCs w:val="20"/>
                <w:lang w:val="en-GB"/>
              </w:rPr>
            </w:pPr>
          </w:p>
        </w:tc>
        <w:tc>
          <w:tcPr>
            <w:tcW w:w="1258" w:type="dxa"/>
          </w:tcPr>
          <w:p w:rsidR="006F2361" w:rsidRPr="00EE01B4" w:rsidRDefault="006F2361" w:rsidP="00B5352E">
            <w:pPr>
              <w:rPr>
                <w:rFonts w:cs="Arial"/>
                <w:sz w:val="20"/>
                <w:szCs w:val="20"/>
                <w:lang w:val="en-GB"/>
              </w:rPr>
            </w:pPr>
          </w:p>
        </w:tc>
        <w:tc>
          <w:tcPr>
            <w:tcW w:w="1258" w:type="dxa"/>
          </w:tcPr>
          <w:p w:rsidR="006F2361" w:rsidRPr="00EE01B4" w:rsidRDefault="006F2361" w:rsidP="00B5352E">
            <w:pPr>
              <w:rPr>
                <w:rFonts w:cs="Arial"/>
                <w:sz w:val="20"/>
                <w:szCs w:val="20"/>
                <w:lang w:val="fr-FR"/>
              </w:rPr>
            </w:pPr>
            <w:r w:rsidRPr="00EE01B4">
              <w:rPr>
                <w:rStyle w:val="Hyperlink"/>
                <w:color w:val="auto"/>
                <w:sz w:val="20"/>
                <w:szCs w:val="20"/>
                <w:u w:val="none"/>
                <w:lang w:val="fr-FR"/>
              </w:rPr>
              <w:t>E</w:t>
            </w:r>
          </w:p>
        </w:tc>
        <w:tc>
          <w:tcPr>
            <w:tcW w:w="5265" w:type="dxa"/>
          </w:tcPr>
          <w:p w:rsidR="006F2361" w:rsidRPr="00EE01B4" w:rsidRDefault="006F2361" w:rsidP="00B5352E">
            <w:pPr>
              <w:rPr>
                <w:rStyle w:val="Hyperlink"/>
                <w:color w:val="auto"/>
                <w:sz w:val="20"/>
                <w:szCs w:val="20"/>
                <w:u w:val="none"/>
                <w:lang w:val="fr-FR"/>
              </w:rPr>
            </w:pPr>
            <w:r w:rsidRPr="00EE01B4">
              <w:rPr>
                <w:rStyle w:val="Hyperlink"/>
                <w:color w:val="auto"/>
                <w:sz w:val="20"/>
                <w:szCs w:val="20"/>
                <w:u w:val="none"/>
                <w:lang w:val="fr-FR"/>
              </w:rPr>
              <w:t>UICN</w:t>
            </w:r>
          </w:p>
          <w:p w:rsidR="006F2361" w:rsidRPr="00EE01B4" w:rsidRDefault="006F2361" w:rsidP="0073584B">
            <w:pPr>
              <w:rPr>
                <w:rFonts w:cs="Arial"/>
                <w:sz w:val="20"/>
                <w:szCs w:val="20"/>
                <w:lang w:val="fr-FR"/>
              </w:rPr>
            </w:pPr>
            <w:r w:rsidRPr="00EE01B4">
              <w:rPr>
                <w:rFonts w:cs="Arial"/>
                <w:sz w:val="20"/>
                <w:szCs w:val="20"/>
                <w:u w:val="single"/>
                <w:lang w:val="fr-FR"/>
              </w:rPr>
              <w:t>Résumé</w:t>
            </w:r>
            <w:r w:rsidRPr="00EE01B4">
              <w:rPr>
                <w:rFonts w:cs="Arial"/>
                <w:sz w:val="20"/>
                <w:szCs w:val="20"/>
                <w:lang w:val="fr-FR"/>
              </w:rPr>
              <w:t> : Cet outil explique un processus d’évaluation intégrée et fournit un ensemble de méthodes pouvant être utilisées pour étudier les liens entre la biodiversité, l’économie et les moyens d’existence dans les zones humides, ainsi que pour identifier et traiter les conflits d’intérêt potentiels entre les objectifs de conservation et de développement. L’approche intégrée décrite permet aussi aux praticiens d’évaluer une zone humide du point de vue de la somme de ses valeurs pour la biodiversité, l’économie et les moyens d’existence. Elle met particulièrement l’accent sur le renforcement des approches favorables plus démunis en matière de gestion des zones humides. </w:t>
            </w:r>
          </w:p>
        </w:tc>
      </w:tr>
      <w:tr w:rsidR="006F2361" w:rsidRPr="00EE01B4" w:rsidTr="00D45DDB">
        <w:tc>
          <w:tcPr>
            <w:tcW w:w="3045" w:type="dxa"/>
          </w:tcPr>
          <w:p w:rsidR="006F2361" w:rsidRPr="00EE01B4" w:rsidRDefault="00DF180B" w:rsidP="00B5352E">
            <w:pPr>
              <w:spacing w:after="40"/>
              <w:rPr>
                <w:color w:val="0000FF" w:themeColor="hyperlink"/>
                <w:sz w:val="20"/>
                <w:szCs w:val="20"/>
                <w:u w:val="single"/>
                <w:lang w:val="en-GB"/>
              </w:rPr>
            </w:pPr>
            <w:hyperlink r:id="rId73" w:history="1">
              <w:r w:rsidR="006F2361" w:rsidRPr="00EE01B4">
                <w:rPr>
                  <w:rStyle w:val="Hyperlink"/>
                  <w:sz w:val="20"/>
                  <w:szCs w:val="20"/>
                  <w:lang w:val="en-GB"/>
                </w:rPr>
                <w:t>Approaches to Sustainable Wetland Resource Management</w:t>
              </w:r>
            </w:hyperlink>
          </w:p>
        </w:tc>
        <w:tc>
          <w:tcPr>
            <w:tcW w:w="2167" w:type="dxa"/>
          </w:tcPr>
          <w:p w:rsidR="006F2361" w:rsidRPr="00EE01B4" w:rsidRDefault="006F2361" w:rsidP="00B5352E">
            <w:pPr>
              <w:rPr>
                <w:rFonts w:cs="Arial"/>
                <w:sz w:val="20"/>
                <w:szCs w:val="20"/>
                <w:lang w:val="en-GB"/>
              </w:rPr>
            </w:pPr>
          </w:p>
        </w:tc>
        <w:tc>
          <w:tcPr>
            <w:tcW w:w="2621" w:type="dxa"/>
          </w:tcPr>
          <w:p w:rsidR="006F2361" w:rsidRPr="00EE01B4" w:rsidRDefault="006F2361" w:rsidP="00B5352E">
            <w:pPr>
              <w:rPr>
                <w:rFonts w:cs="Arial"/>
                <w:sz w:val="20"/>
                <w:szCs w:val="20"/>
                <w:lang w:val="en-GB"/>
              </w:rPr>
            </w:pPr>
          </w:p>
        </w:tc>
        <w:tc>
          <w:tcPr>
            <w:tcW w:w="1258" w:type="dxa"/>
          </w:tcPr>
          <w:p w:rsidR="006F2361" w:rsidRPr="00EE01B4" w:rsidRDefault="006F2361" w:rsidP="00B5352E">
            <w:pPr>
              <w:rPr>
                <w:rFonts w:cs="Arial"/>
                <w:sz w:val="20"/>
                <w:szCs w:val="20"/>
                <w:lang w:val="en-GB"/>
              </w:rPr>
            </w:pPr>
          </w:p>
        </w:tc>
        <w:tc>
          <w:tcPr>
            <w:tcW w:w="1258" w:type="dxa"/>
          </w:tcPr>
          <w:p w:rsidR="006F2361" w:rsidRPr="00EE01B4" w:rsidRDefault="006F2361" w:rsidP="00B5352E">
            <w:pPr>
              <w:rPr>
                <w:rFonts w:cs="Arial"/>
                <w:sz w:val="20"/>
                <w:szCs w:val="20"/>
                <w:lang w:val="fr-FR"/>
              </w:rPr>
            </w:pPr>
            <w:r w:rsidRPr="00EE01B4">
              <w:rPr>
                <w:rFonts w:cs="Arial"/>
                <w:sz w:val="20"/>
                <w:szCs w:val="20"/>
                <w:lang w:val="fr-FR"/>
              </w:rPr>
              <w:t>E</w:t>
            </w:r>
          </w:p>
        </w:tc>
        <w:tc>
          <w:tcPr>
            <w:tcW w:w="5265" w:type="dxa"/>
          </w:tcPr>
          <w:p w:rsidR="006F2361" w:rsidRPr="00EE01B4" w:rsidRDefault="006F2361" w:rsidP="00B5352E">
            <w:pPr>
              <w:rPr>
                <w:rStyle w:val="Hyperlink"/>
                <w:color w:val="auto"/>
                <w:sz w:val="20"/>
                <w:szCs w:val="20"/>
                <w:u w:val="none"/>
                <w:lang w:val="fr-FR"/>
              </w:rPr>
            </w:pPr>
            <w:r w:rsidRPr="00EE01B4">
              <w:rPr>
                <w:rStyle w:val="Hyperlink"/>
                <w:color w:val="auto"/>
                <w:sz w:val="20"/>
                <w:szCs w:val="20"/>
                <w:u w:val="none"/>
                <w:lang w:val="fr-FR"/>
              </w:rPr>
              <w:t>UICN</w:t>
            </w:r>
          </w:p>
          <w:p w:rsidR="006F2361" w:rsidRPr="00EE01B4" w:rsidRDefault="006F2361" w:rsidP="009D5168">
            <w:pPr>
              <w:rPr>
                <w:rFonts w:cs="Arial"/>
                <w:sz w:val="20"/>
                <w:szCs w:val="20"/>
                <w:lang w:val="fr-FR"/>
              </w:rPr>
            </w:pPr>
            <w:r w:rsidRPr="00EE01B4">
              <w:rPr>
                <w:rFonts w:cs="Arial"/>
                <w:sz w:val="20"/>
                <w:szCs w:val="20"/>
                <w:u w:val="single"/>
                <w:lang w:val="fr-FR"/>
              </w:rPr>
              <w:t>Résumé</w:t>
            </w:r>
            <w:r w:rsidRPr="00EE01B4">
              <w:rPr>
                <w:rFonts w:cs="Arial"/>
                <w:sz w:val="20"/>
                <w:szCs w:val="20"/>
                <w:lang w:val="fr-FR"/>
              </w:rPr>
              <w:t xml:space="preserve"> : La gestion des ressources communautaires de </w:t>
            </w:r>
            <w:proofErr w:type="spellStart"/>
            <w:r w:rsidRPr="00EE01B4">
              <w:rPr>
                <w:rFonts w:cs="Arial"/>
                <w:sz w:val="20"/>
                <w:szCs w:val="20"/>
                <w:lang w:val="fr-FR"/>
              </w:rPr>
              <w:t>haors</w:t>
            </w:r>
            <w:proofErr w:type="spellEnd"/>
            <w:r w:rsidRPr="00EE01B4">
              <w:rPr>
                <w:rFonts w:cs="Arial"/>
                <w:sz w:val="20"/>
                <w:szCs w:val="20"/>
                <w:lang w:val="fr-FR"/>
              </w:rPr>
              <w:t xml:space="preserve"> et celle de la plaine d’inondation … sont appliquées par l’UICN au Bangladesh … depuis octobre 1998 dans deux </w:t>
            </w:r>
            <w:proofErr w:type="spellStart"/>
            <w:r w:rsidRPr="00EE01B4">
              <w:rPr>
                <w:rFonts w:cs="Arial"/>
                <w:sz w:val="20"/>
                <w:szCs w:val="20"/>
                <w:lang w:val="fr-FR"/>
              </w:rPr>
              <w:t>haors</w:t>
            </w:r>
            <w:proofErr w:type="spellEnd"/>
            <w:r w:rsidRPr="00EE01B4">
              <w:rPr>
                <w:rFonts w:cs="Arial"/>
                <w:sz w:val="20"/>
                <w:szCs w:val="20"/>
                <w:lang w:val="fr-FR"/>
              </w:rPr>
              <w:t xml:space="preserve"> et trois zones de plaine d’inondation … L’approche utilisait plusieurs techniques et outils d’évaluation rurale participative… Cette approche du pilotage de projet examine aussi les questions de durabilité pour chacune des activités tout en garantissant la participation d’organisations communautaires formées dans le cadre du projet. L’ouvrage décrit brièvement les approches et méthodologies pour planifier, mettre en œuvre et démontrer différentes activités dans cinq zones humides différentes du pays. </w:t>
            </w:r>
          </w:p>
        </w:tc>
      </w:tr>
      <w:tr w:rsidR="006F2361" w:rsidRPr="00EE01B4" w:rsidTr="00D45DDB">
        <w:tc>
          <w:tcPr>
            <w:tcW w:w="3045" w:type="dxa"/>
          </w:tcPr>
          <w:p w:rsidR="006F2361" w:rsidRPr="00EE01B4" w:rsidRDefault="00DF180B" w:rsidP="005B4DE5">
            <w:pPr>
              <w:spacing w:after="40"/>
              <w:rPr>
                <w:color w:val="0000FF" w:themeColor="hyperlink"/>
                <w:sz w:val="20"/>
                <w:szCs w:val="20"/>
                <w:u w:val="single"/>
                <w:lang w:val="fr-FR"/>
              </w:rPr>
            </w:pPr>
            <w:hyperlink r:id="rId74" w:history="1">
              <w:r w:rsidR="006F2361" w:rsidRPr="00EE01B4">
                <w:rPr>
                  <w:rStyle w:val="Hyperlink"/>
                  <w:sz w:val="20"/>
                  <w:szCs w:val="20"/>
                  <w:lang w:val="fr-FR"/>
                </w:rPr>
                <w:t>Débit : les débits environnementaux, ce qu'il faut savoir</w:t>
              </w:r>
            </w:hyperlink>
            <w:r w:rsidR="006F2361" w:rsidRPr="00EE01B4">
              <w:rPr>
                <w:sz w:val="20"/>
                <w:szCs w:val="20"/>
                <w:lang w:val="fr-FR"/>
              </w:rPr>
              <w:t xml:space="preserve"> </w:t>
            </w:r>
          </w:p>
        </w:tc>
        <w:tc>
          <w:tcPr>
            <w:tcW w:w="2167" w:type="dxa"/>
          </w:tcPr>
          <w:p w:rsidR="006F2361" w:rsidRPr="00EE01B4" w:rsidRDefault="006F2361" w:rsidP="00B5352E">
            <w:pPr>
              <w:rPr>
                <w:rFonts w:cs="Arial"/>
                <w:sz w:val="20"/>
                <w:szCs w:val="20"/>
                <w:lang w:val="fr-FR"/>
              </w:rPr>
            </w:pPr>
          </w:p>
        </w:tc>
        <w:tc>
          <w:tcPr>
            <w:tcW w:w="2621" w:type="dxa"/>
          </w:tcPr>
          <w:p w:rsidR="006F2361" w:rsidRPr="00EE01B4" w:rsidRDefault="006F2361" w:rsidP="00B5352E">
            <w:pPr>
              <w:rPr>
                <w:rFonts w:cs="Arial"/>
                <w:sz w:val="20"/>
                <w:szCs w:val="20"/>
                <w:lang w:val="fr-FR"/>
              </w:rPr>
            </w:pPr>
          </w:p>
        </w:tc>
        <w:tc>
          <w:tcPr>
            <w:tcW w:w="1258" w:type="dxa"/>
          </w:tcPr>
          <w:p w:rsidR="006F2361" w:rsidRPr="00EE01B4" w:rsidRDefault="006F2361" w:rsidP="00B5352E">
            <w:pPr>
              <w:rPr>
                <w:rFonts w:cs="Arial"/>
                <w:sz w:val="20"/>
                <w:szCs w:val="20"/>
                <w:lang w:val="fr-FR"/>
              </w:rPr>
            </w:pPr>
          </w:p>
        </w:tc>
        <w:tc>
          <w:tcPr>
            <w:tcW w:w="1258" w:type="dxa"/>
          </w:tcPr>
          <w:p w:rsidR="006F2361" w:rsidRPr="00EE01B4" w:rsidRDefault="006F2361" w:rsidP="00B5352E">
            <w:pPr>
              <w:rPr>
                <w:rFonts w:cs="Arial"/>
                <w:sz w:val="20"/>
                <w:szCs w:val="20"/>
                <w:lang w:val="fr-FR"/>
              </w:rPr>
            </w:pPr>
            <w:r w:rsidRPr="00EE01B4">
              <w:rPr>
                <w:rStyle w:val="Hyperlink"/>
                <w:color w:val="auto"/>
                <w:sz w:val="20"/>
                <w:szCs w:val="20"/>
                <w:u w:val="none"/>
                <w:lang w:val="fr-FR"/>
              </w:rPr>
              <w:t>EFSC</w:t>
            </w:r>
          </w:p>
        </w:tc>
        <w:tc>
          <w:tcPr>
            <w:tcW w:w="5265" w:type="dxa"/>
          </w:tcPr>
          <w:p w:rsidR="006F2361" w:rsidRPr="00EE01B4" w:rsidRDefault="006F2361" w:rsidP="00B5352E">
            <w:pPr>
              <w:rPr>
                <w:rStyle w:val="Hyperlink"/>
                <w:color w:val="auto"/>
                <w:sz w:val="20"/>
                <w:szCs w:val="20"/>
                <w:u w:val="none"/>
                <w:lang w:val="fr-FR"/>
              </w:rPr>
            </w:pPr>
            <w:r w:rsidRPr="00EE01B4">
              <w:rPr>
                <w:rStyle w:val="Hyperlink"/>
                <w:color w:val="auto"/>
                <w:sz w:val="20"/>
                <w:szCs w:val="20"/>
                <w:u w:val="none"/>
                <w:lang w:val="fr-FR"/>
              </w:rPr>
              <w:t>UICN</w:t>
            </w:r>
          </w:p>
          <w:p w:rsidR="006F2361" w:rsidRPr="00EE01B4" w:rsidRDefault="006F2361" w:rsidP="009D5168">
            <w:pPr>
              <w:rPr>
                <w:rFonts w:cs="Arial"/>
                <w:sz w:val="20"/>
                <w:szCs w:val="20"/>
                <w:lang w:val="fr-FR"/>
              </w:rPr>
            </w:pPr>
            <w:r w:rsidRPr="00EE01B4">
              <w:rPr>
                <w:rFonts w:cs="Arial"/>
                <w:sz w:val="20"/>
                <w:szCs w:val="20"/>
                <w:u w:val="single"/>
                <w:lang w:val="fr-FR"/>
              </w:rPr>
              <w:t>Résumé</w:t>
            </w:r>
            <w:r w:rsidRPr="00EE01B4">
              <w:rPr>
                <w:rFonts w:cs="Arial"/>
                <w:sz w:val="20"/>
                <w:szCs w:val="20"/>
                <w:lang w:val="fr-FR"/>
              </w:rPr>
              <w:t> : Ce guide, le deuxième dans la série de l’Initiative pour l’eau et la nature, s’inspire de manière approfondie de l’expérience de ces pays [Afrique du Sud, Australie et États</w:t>
            </w:r>
            <w:r w:rsidRPr="00EE01B4">
              <w:rPr>
                <w:rFonts w:cs="Arial"/>
                <w:sz w:val="20"/>
                <w:szCs w:val="20"/>
                <w:lang w:val="fr-FR"/>
              </w:rPr>
              <w:noBreakHyphen/>
              <w:t xml:space="preserve">Unis d’Amérique] pour proposer un avis pratique pour </w:t>
            </w:r>
            <w:r w:rsidRPr="00EE01B4">
              <w:rPr>
                <w:rFonts w:cs="Arial"/>
                <w:sz w:val="20"/>
                <w:szCs w:val="20"/>
                <w:lang w:val="fr-FR"/>
              </w:rPr>
              <w:lastRenderedPageBreak/>
              <w:t>cette question émergente sur l’agenda des ressources en eau. Il va bien au</w:t>
            </w:r>
            <w:r w:rsidRPr="00EE01B4">
              <w:rPr>
                <w:rFonts w:cs="Arial"/>
                <w:sz w:val="20"/>
                <w:szCs w:val="20"/>
                <w:lang w:val="fr-FR"/>
              </w:rPr>
              <w:noBreakHyphen/>
              <w:t xml:space="preserve">delà de la littérature actuelle pour offrir des orientations pratiques sur des questions techniques telles que les méthodes d’évaluation et l’adaptation infrastructurelle ainsi que les dimensions économiques, juridiques et politiques de l’établissement de flux environnementaux.  </w:t>
            </w:r>
          </w:p>
        </w:tc>
      </w:tr>
      <w:tr w:rsidR="006F2361" w:rsidRPr="00EE01B4" w:rsidTr="00D45DDB">
        <w:tc>
          <w:tcPr>
            <w:tcW w:w="3045" w:type="dxa"/>
          </w:tcPr>
          <w:p w:rsidR="006F2361" w:rsidRPr="00EE01B4" w:rsidRDefault="00DF180B" w:rsidP="00B5352E">
            <w:pPr>
              <w:spacing w:after="40"/>
              <w:rPr>
                <w:sz w:val="20"/>
                <w:szCs w:val="20"/>
                <w:lang w:val="fr-FR"/>
              </w:rPr>
            </w:pPr>
            <w:hyperlink r:id="rId75" w:history="1">
              <w:r w:rsidR="006F2361" w:rsidRPr="00EE01B4">
                <w:rPr>
                  <w:rStyle w:val="Hyperlink"/>
                  <w:sz w:val="20"/>
                  <w:szCs w:val="20"/>
                  <w:lang w:val="fr-FR"/>
                </w:rPr>
                <w:t>Gestion des zones humides en milieux arides : leçons d'expérience</w:t>
              </w:r>
            </w:hyperlink>
          </w:p>
        </w:tc>
        <w:tc>
          <w:tcPr>
            <w:tcW w:w="2167" w:type="dxa"/>
          </w:tcPr>
          <w:p w:rsidR="006F2361" w:rsidRPr="00EE01B4" w:rsidRDefault="006F2361" w:rsidP="00B5352E">
            <w:pPr>
              <w:rPr>
                <w:rFonts w:cs="Arial"/>
                <w:sz w:val="20"/>
                <w:szCs w:val="20"/>
                <w:lang w:val="fr-FR"/>
              </w:rPr>
            </w:pPr>
          </w:p>
        </w:tc>
        <w:tc>
          <w:tcPr>
            <w:tcW w:w="2621" w:type="dxa"/>
          </w:tcPr>
          <w:p w:rsidR="006F2361" w:rsidRPr="00EE01B4" w:rsidRDefault="006F2361" w:rsidP="00B5352E">
            <w:pPr>
              <w:rPr>
                <w:rFonts w:cs="Arial"/>
                <w:sz w:val="20"/>
                <w:szCs w:val="20"/>
                <w:lang w:val="fr-FR"/>
              </w:rPr>
            </w:pPr>
          </w:p>
        </w:tc>
        <w:tc>
          <w:tcPr>
            <w:tcW w:w="1258" w:type="dxa"/>
          </w:tcPr>
          <w:p w:rsidR="006F2361" w:rsidRPr="00EE01B4" w:rsidRDefault="006F2361" w:rsidP="00B5352E">
            <w:pPr>
              <w:rPr>
                <w:rFonts w:cs="Arial"/>
                <w:sz w:val="20"/>
                <w:szCs w:val="20"/>
                <w:lang w:val="fr-FR"/>
              </w:rPr>
            </w:pPr>
          </w:p>
        </w:tc>
        <w:tc>
          <w:tcPr>
            <w:tcW w:w="1258" w:type="dxa"/>
          </w:tcPr>
          <w:p w:rsidR="006F2361" w:rsidRPr="00EE01B4" w:rsidRDefault="006F2361" w:rsidP="00B5352E">
            <w:pPr>
              <w:rPr>
                <w:rFonts w:cs="Arial"/>
                <w:color w:val="000000" w:themeColor="text1"/>
                <w:sz w:val="20"/>
                <w:szCs w:val="20"/>
                <w:lang w:val="fr-FR"/>
              </w:rPr>
            </w:pPr>
            <w:r w:rsidRPr="00EE01B4">
              <w:rPr>
                <w:color w:val="000000" w:themeColor="text1"/>
                <w:sz w:val="20"/>
                <w:szCs w:val="20"/>
                <w:lang w:val="fr-FR"/>
              </w:rPr>
              <w:t>F</w:t>
            </w:r>
          </w:p>
        </w:tc>
        <w:tc>
          <w:tcPr>
            <w:tcW w:w="5265" w:type="dxa"/>
          </w:tcPr>
          <w:p w:rsidR="006F2361" w:rsidRPr="00EE01B4" w:rsidRDefault="006F2361" w:rsidP="006003FB">
            <w:pPr>
              <w:rPr>
                <w:rFonts w:cs="Arial"/>
                <w:color w:val="000000" w:themeColor="text1"/>
                <w:sz w:val="20"/>
                <w:szCs w:val="20"/>
                <w:lang w:val="fr-FR"/>
              </w:rPr>
            </w:pPr>
            <w:r w:rsidRPr="00EE01B4">
              <w:rPr>
                <w:color w:val="000000" w:themeColor="text1"/>
                <w:sz w:val="20"/>
                <w:szCs w:val="20"/>
                <w:lang w:val="fr-FR"/>
              </w:rPr>
              <w:t>UICN</w:t>
            </w:r>
          </w:p>
        </w:tc>
      </w:tr>
      <w:tr w:rsidR="006F2361" w:rsidRPr="00EE01B4" w:rsidTr="00D45DDB">
        <w:tc>
          <w:tcPr>
            <w:tcW w:w="3045" w:type="dxa"/>
          </w:tcPr>
          <w:p w:rsidR="006F2361" w:rsidRPr="00EE01B4" w:rsidRDefault="00DF180B" w:rsidP="00B5352E">
            <w:pPr>
              <w:spacing w:after="40"/>
              <w:rPr>
                <w:color w:val="0000FF" w:themeColor="hyperlink"/>
                <w:sz w:val="20"/>
                <w:szCs w:val="20"/>
                <w:u w:val="single"/>
                <w:lang w:val="en-GB"/>
              </w:rPr>
            </w:pPr>
            <w:hyperlink r:id="rId76" w:history="1">
              <w:r w:rsidR="006F2361" w:rsidRPr="00EE01B4">
                <w:rPr>
                  <w:rStyle w:val="Hyperlink"/>
                  <w:sz w:val="20"/>
                  <w:szCs w:val="20"/>
                  <w:lang w:val="en-GB"/>
                </w:rPr>
                <w:t>Wetland Management Planning: Methodology Manual for Indian Planners</w:t>
              </w:r>
            </w:hyperlink>
          </w:p>
        </w:tc>
        <w:tc>
          <w:tcPr>
            <w:tcW w:w="2167" w:type="dxa"/>
          </w:tcPr>
          <w:p w:rsidR="006F2361" w:rsidRPr="00EE01B4" w:rsidRDefault="006F2361" w:rsidP="00B5352E">
            <w:pPr>
              <w:rPr>
                <w:rFonts w:cs="Arial"/>
                <w:sz w:val="20"/>
                <w:szCs w:val="20"/>
                <w:lang w:val="en-GB"/>
              </w:rPr>
            </w:pPr>
          </w:p>
        </w:tc>
        <w:tc>
          <w:tcPr>
            <w:tcW w:w="2621" w:type="dxa"/>
          </w:tcPr>
          <w:p w:rsidR="006F2361" w:rsidRPr="00EE01B4" w:rsidRDefault="006F2361" w:rsidP="00B5352E">
            <w:pPr>
              <w:rPr>
                <w:rFonts w:cs="Arial"/>
                <w:sz w:val="20"/>
                <w:szCs w:val="20"/>
                <w:lang w:val="en-GB"/>
              </w:rPr>
            </w:pPr>
          </w:p>
        </w:tc>
        <w:tc>
          <w:tcPr>
            <w:tcW w:w="1258" w:type="dxa"/>
          </w:tcPr>
          <w:p w:rsidR="006F2361" w:rsidRPr="00EE01B4" w:rsidRDefault="006F2361" w:rsidP="00B5352E">
            <w:pPr>
              <w:rPr>
                <w:rFonts w:cs="Arial"/>
                <w:sz w:val="20"/>
                <w:szCs w:val="20"/>
                <w:lang w:val="en-GB"/>
              </w:rPr>
            </w:pPr>
          </w:p>
        </w:tc>
        <w:tc>
          <w:tcPr>
            <w:tcW w:w="1258" w:type="dxa"/>
          </w:tcPr>
          <w:p w:rsidR="006F2361" w:rsidRPr="00EE01B4" w:rsidRDefault="006F2361" w:rsidP="00B5352E">
            <w:pPr>
              <w:rPr>
                <w:rFonts w:cs="Arial"/>
                <w:sz w:val="20"/>
                <w:szCs w:val="20"/>
                <w:lang w:val="fr-FR"/>
              </w:rPr>
            </w:pPr>
            <w:r w:rsidRPr="00EE01B4">
              <w:rPr>
                <w:rStyle w:val="Hyperlink"/>
                <w:color w:val="auto"/>
                <w:sz w:val="20"/>
                <w:szCs w:val="20"/>
                <w:u w:val="none"/>
                <w:lang w:val="fr-FR"/>
              </w:rPr>
              <w:t>E</w:t>
            </w:r>
          </w:p>
        </w:tc>
        <w:tc>
          <w:tcPr>
            <w:tcW w:w="5265" w:type="dxa"/>
          </w:tcPr>
          <w:p w:rsidR="006F2361" w:rsidRPr="00EE01B4" w:rsidRDefault="006F2361" w:rsidP="00B5352E">
            <w:pPr>
              <w:rPr>
                <w:rStyle w:val="Hyperlink"/>
                <w:color w:val="auto"/>
                <w:sz w:val="20"/>
                <w:szCs w:val="20"/>
                <w:u w:val="none"/>
                <w:lang w:val="fr-FR"/>
              </w:rPr>
            </w:pPr>
            <w:proofErr w:type="spellStart"/>
            <w:r w:rsidRPr="00EE01B4">
              <w:rPr>
                <w:rStyle w:val="Hyperlink"/>
                <w:color w:val="auto"/>
                <w:sz w:val="20"/>
                <w:szCs w:val="20"/>
                <w:u w:val="none"/>
                <w:lang w:val="fr-FR"/>
              </w:rPr>
              <w:t>Wetlands</w:t>
            </w:r>
            <w:proofErr w:type="spellEnd"/>
            <w:r w:rsidRPr="00EE01B4">
              <w:rPr>
                <w:rStyle w:val="Hyperlink"/>
                <w:color w:val="auto"/>
                <w:sz w:val="20"/>
                <w:szCs w:val="20"/>
                <w:u w:val="none"/>
                <w:lang w:val="fr-FR"/>
              </w:rPr>
              <w:t xml:space="preserve"> International</w:t>
            </w:r>
          </w:p>
          <w:p w:rsidR="006F2361" w:rsidRPr="00EE01B4" w:rsidRDefault="006F2361" w:rsidP="00EF194F">
            <w:pPr>
              <w:rPr>
                <w:rFonts w:cs="Arial"/>
                <w:sz w:val="20"/>
                <w:szCs w:val="20"/>
                <w:lang w:val="fr-FR"/>
              </w:rPr>
            </w:pPr>
            <w:r w:rsidRPr="00EE01B4">
              <w:rPr>
                <w:rFonts w:cs="Arial"/>
                <w:sz w:val="20"/>
                <w:szCs w:val="20"/>
                <w:u w:val="single"/>
                <w:lang w:val="fr-FR"/>
              </w:rPr>
              <w:t>Résumé</w:t>
            </w:r>
            <w:r w:rsidRPr="00EE01B4">
              <w:rPr>
                <w:rFonts w:cs="Arial"/>
                <w:sz w:val="20"/>
                <w:szCs w:val="20"/>
                <w:lang w:val="fr-FR"/>
              </w:rPr>
              <w:t> : Ces orientations ont été préparées pour les administrateurs de zones humides afin d’aider à l’élaboration de plans de gestion intégrée. Elles sont axées sur l’application d’une méthodologie intégrée afin d’aider à l’identification systématique des objectifs de gestion et à un plan d’action utilisant les résultats fondés sur les mécanismes d’établissement des objectifs, des résultats et des produits. Les lignes directrices existantes de la Convention de Ramsar sur les plans de gestion des zones humides ainsi que les Manuels Ramsar sur l’utilisation rationnelle ont servi à élaborer les différentes sections. </w:t>
            </w:r>
          </w:p>
        </w:tc>
      </w:tr>
      <w:tr w:rsidR="006F2361" w:rsidRPr="00EE01B4" w:rsidTr="00D45DDB">
        <w:tc>
          <w:tcPr>
            <w:tcW w:w="3045" w:type="dxa"/>
          </w:tcPr>
          <w:p w:rsidR="006F2361" w:rsidRPr="00EE01B4" w:rsidRDefault="00DF180B" w:rsidP="00B5352E">
            <w:pPr>
              <w:spacing w:after="40"/>
              <w:rPr>
                <w:color w:val="0000FF" w:themeColor="hyperlink"/>
                <w:sz w:val="20"/>
                <w:szCs w:val="20"/>
                <w:u w:val="single"/>
                <w:lang w:val="en-GB"/>
              </w:rPr>
            </w:pPr>
            <w:hyperlink r:id="rId77" w:history="1">
              <w:r w:rsidR="006F2361" w:rsidRPr="00EE01B4">
                <w:rPr>
                  <w:rStyle w:val="Hyperlink"/>
                  <w:sz w:val="20"/>
                  <w:szCs w:val="20"/>
                  <w:lang w:val="en-GB"/>
                </w:rPr>
                <w:t>Wetland Management Planning: A Guide for Site Managers</w:t>
              </w:r>
            </w:hyperlink>
          </w:p>
        </w:tc>
        <w:tc>
          <w:tcPr>
            <w:tcW w:w="2167" w:type="dxa"/>
          </w:tcPr>
          <w:p w:rsidR="006F2361" w:rsidRPr="00EE01B4" w:rsidRDefault="006F2361" w:rsidP="00B5352E">
            <w:pPr>
              <w:rPr>
                <w:rFonts w:cs="Arial"/>
                <w:sz w:val="20"/>
                <w:szCs w:val="20"/>
                <w:lang w:val="en-GB"/>
              </w:rPr>
            </w:pPr>
          </w:p>
        </w:tc>
        <w:tc>
          <w:tcPr>
            <w:tcW w:w="2621" w:type="dxa"/>
          </w:tcPr>
          <w:p w:rsidR="006F2361" w:rsidRPr="00EE01B4" w:rsidRDefault="006F2361" w:rsidP="00B5352E">
            <w:pPr>
              <w:rPr>
                <w:rFonts w:cs="Arial"/>
                <w:sz w:val="20"/>
                <w:szCs w:val="20"/>
                <w:lang w:val="en-GB"/>
              </w:rPr>
            </w:pPr>
          </w:p>
        </w:tc>
        <w:tc>
          <w:tcPr>
            <w:tcW w:w="1258" w:type="dxa"/>
          </w:tcPr>
          <w:p w:rsidR="006F2361" w:rsidRPr="00EE01B4" w:rsidRDefault="006F2361" w:rsidP="00B5352E">
            <w:pPr>
              <w:rPr>
                <w:rFonts w:cs="Arial"/>
                <w:sz w:val="20"/>
                <w:szCs w:val="20"/>
                <w:lang w:val="en-GB"/>
              </w:rPr>
            </w:pPr>
          </w:p>
        </w:tc>
        <w:tc>
          <w:tcPr>
            <w:tcW w:w="1258" w:type="dxa"/>
          </w:tcPr>
          <w:p w:rsidR="006F2361" w:rsidRPr="00EE01B4" w:rsidRDefault="006F2361" w:rsidP="00B5352E">
            <w:pPr>
              <w:rPr>
                <w:rFonts w:cs="Arial"/>
                <w:sz w:val="20"/>
                <w:szCs w:val="20"/>
                <w:lang w:val="fr-FR"/>
              </w:rPr>
            </w:pPr>
            <w:r w:rsidRPr="00EE01B4">
              <w:rPr>
                <w:rFonts w:cs="Arial"/>
                <w:sz w:val="20"/>
                <w:szCs w:val="20"/>
                <w:lang w:val="fr-FR"/>
              </w:rPr>
              <w:t>E</w:t>
            </w:r>
          </w:p>
        </w:tc>
        <w:tc>
          <w:tcPr>
            <w:tcW w:w="5265" w:type="dxa"/>
          </w:tcPr>
          <w:p w:rsidR="006F2361" w:rsidRPr="00EE01B4" w:rsidRDefault="006F2361" w:rsidP="00B5352E">
            <w:pPr>
              <w:rPr>
                <w:sz w:val="20"/>
                <w:szCs w:val="20"/>
                <w:lang w:val="fr-FR"/>
              </w:rPr>
            </w:pPr>
            <w:r w:rsidRPr="00EE01B4">
              <w:rPr>
                <w:sz w:val="20"/>
                <w:szCs w:val="20"/>
                <w:lang w:val="fr-FR"/>
              </w:rPr>
              <w:t xml:space="preserve">WWF, </w:t>
            </w:r>
            <w:proofErr w:type="spellStart"/>
            <w:r w:rsidRPr="00EE01B4">
              <w:rPr>
                <w:sz w:val="20"/>
                <w:szCs w:val="20"/>
                <w:lang w:val="fr-FR"/>
              </w:rPr>
              <w:t>Wetlands</w:t>
            </w:r>
            <w:proofErr w:type="spellEnd"/>
            <w:r w:rsidRPr="00EE01B4">
              <w:rPr>
                <w:sz w:val="20"/>
                <w:szCs w:val="20"/>
                <w:lang w:val="fr-FR"/>
              </w:rPr>
              <w:t xml:space="preserve"> International, UICN (et Ramsar)</w:t>
            </w:r>
          </w:p>
          <w:p w:rsidR="006F2361" w:rsidRPr="00EE01B4" w:rsidRDefault="006F2361" w:rsidP="0029147F">
            <w:pPr>
              <w:rPr>
                <w:rFonts w:cs="Arial"/>
                <w:sz w:val="20"/>
                <w:szCs w:val="20"/>
                <w:lang w:val="fr-FR"/>
              </w:rPr>
            </w:pPr>
            <w:r w:rsidRPr="00EE01B4">
              <w:rPr>
                <w:rFonts w:cs="Arial"/>
                <w:sz w:val="20"/>
                <w:szCs w:val="20"/>
                <w:u w:val="single"/>
                <w:lang w:val="fr-FR"/>
              </w:rPr>
              <w:t>Résumé</w:t>
            </w:r>
            <w:r w:rsidRPr="00EE01B4">
              <w:rPr>
                <w:rFonts w:cs="Arial"/>
                <w:sz w:val="20"/>
                <w:szCs w:val="20"/>
                <w:lang w:val="fr-FR"/>
              </w:rPr>
              <w:t> : Ce guide a pour objet de fournir un résumé des étapes d’élaboration des processus de planification de la gestion des zones humides… Ce bref guide a été préparé pour aider les administrateurs de sites inscrits sur la Liste de Ramsar ainsi que de tous les autres types de zones humides. Il propose un résumé du Manuel Ramsar 16 … tout en soulignant d’autres sources pertinentes d’informations utiles sur les plans de gestion des zones humides. </w:t>
            </w:r>
          </w:p>
        </w:tc>
      </w:tr>
      <w:tr w:rsidR="006F2361" w:rsidRPr="00EE01B4" w:rsidTr="00D45DDB">
        <w:tc>
          <w:tcPr>
            <w:tcW w:w="3045" w:type="dxa"/>
          </w:tcPr>
          <w:p w:rsidR="006F2361" w:rsidRPr="00EE01B4" w:rsidRDefault="00DF180B" w:rsidP="00B5352E">
            <w:pPr>
              <w:spacing w:after="40"/>
              <w:rPr>
                <w:color w:val="0000FF" w:themeColor="hyperlink"/>
                <w:sz w:val="20"/>
                <w:szCs w:val="20"/>
                <w:u w:val="single"/>
                <w:lang w:val="en-GB"/>
              </w:rPr>
            </w:pPr>
            <w:hyperlink r:id="rId78" w:history="1">
              <w:r w:rsidR="006F2361" w:rsidRPr="00EE01B4">
                <w:rPr>
                  <w:rStyle w:val="Hyperlink"/>
                  <w:sz w:val="20"/>
                  <w:szCs w:val="20"/>
                  <w:lang w:val="en-GB"/>
                </w:rPr>
                <w:t>The Economics of Ecosystems and Biodiversity for Water and Wetlands</w:t>
              </w:r>
            </w:hyperlink>
          </w:p>
        </w:tc>
        <w:tc>
          <w:tcPr>
            <w:tcW w:w="2167" w:type="dxa"/>
          </w:tcPr>
          <w:p w:rsidR="006F2361" w:rsidRPr="00EE01B4" w:rsidRDefault="006F2361" w:rsidP="00B5352E">
            <w:pPr>
              <w:rPr>
                <w:rFonts w:cs="Arial"/>
                <w:sz w:val="20"/>
                <w:szCs w:val="20"/>
                <w:lang w:val="en-GB"/>
              </w:rPr>
            </w:pPr>
          </w:p>
        </w:tc>
        <w:tc>
          <w:tcPr>
            <w:tcW w:w="2621" w:type="dxa"/>
          </w:tcPr>
          <w:p w:rsidR="006F2361" w:rsidRPr="00EE01B4" w:rsidRDefault="006F2361" w:rsidP="00B5352E">
            <w:pPr>
              <w:rPr>
                <w:rFonts w:cs="Arial"/>
                <w:sz w:val="20"/>
                <w:szCs w:val="20"/>
                <w:lang w:val="en-GB"/>
              </w:rPr>
            </w:pPr>
          </w:p>
        </w:tc>
        <w:tc>
          <w:tcPr>
            <w:tcW w:w="1258" w:type="dxa"/>
          </w:tcPr>
          <w:p w:rsidR="006F2361" w:rsidRPr="00EE01B4" w:rsidRDefault="006F2361" w:rsidP="00B5352E">
            <w:pPr>
              <w:rPr>
                <w:rFonts w:cs="Arial"/>
                <w:sz w:val="20"/>
                <w:szCs w:val="20"/>
                <w:lang w:val="en-GB"/>
              </w:rPr>
            </w:pPr>
          </w:p>
        </w:tc>
        <w:tc>
          <w:tcPr>
            <w:tcW w:w="1258" w:type="dxa"/>
          </w:tcPr>
          <w:p w:rsidR="006F2361" w:rsidRPr="00EE01B4" w:rsidRDefault="006F2361" w:rsidP="0029147F">
            <w:pPr>
              <w:rPr>
                <w:rFonts w:cs="Arial"/>
                <w:sz w:val="20"/>
                <w:szCs w:val="20"/>
                <w:lang w:val="fr-FR"/>
              </w:rPr>
            </w:pPr>
            <w:r w:rsidRPr="00EE01B4">
              <w:rPr>
                <w:sz w:val="20"/>
                <w:szCs w:val="20"/>
                <w:lang w:val="fr-FR"/>
              </w:rPr>
              <w:t>E (résumé disponible en EFSRAC)</w:t>
            </w:r>
          </w:p>
        </w:tc>
        <w:tc>
          <w:tcPr>
            <w:tcW w:w="5265" w:type="dxa"/>
          </w:tcPr>
          <w:p w:rsidR="006F2361" w:rsidRPr="00EE01B4" w:rsidRDefault="006F2361" w:rsidP="00B5352E">
            <w:pPr>
              <w:rPr>
                <w:sz w:val="20"/>
                <w:szCs w:val="20"/>
                <w:lang w:val="fr-FR"/>
              </w:rPr>
            </w:pPr>
            <w:r w:rsidRPr="00EE01B4">
              <w:rPr>
                <w:sz w:val="20"/>
                <w:szCs w:val="20"/>
                <w:lang w:val="fr-FR"/>
              </w:rPr>
              <w:t>IEEP et Ramsar</w:t>
            </w:r>
          </w:p>
          <w:p w:rsidR="006F2361" w:rsidRPr="00EE01B4" w:rsidRDefault="006F2361" w:rsidP="002334BA">
            <w:pPr>
              <w:rPr>
                <w:rFonts w:cs="Arial"/>
                <w:sz w:val="20"/>
                <w:szCs w:val="20"/>
                <w:lang w:val="fr-FR"/>
              </w:rPr>
            </w:pPr>
            <w:r w:rsidRPr="00EE01B4">
              <w:rPr>
                <w:rFonts w:cs="Arial"/>
                <w:sz w:val="20"/>
                <w:szCs w:val="20"/>
                <w:u w:val="single"/>
                <w:lang w:val="fr-FR"/>
              </w:rPr>
              <w:t>Résumé</w:t>
            </w:r>
            <w:r w:rsidRPr="00EE01B4">
              <w:rPr>
                <w:rFonts w:cs="Arial"/>
                <w:sz w:val="20"/>
                <w:szCs w:val="20"/>
                <w:lang w:val="fr-FR"/>
              </w:rPr>
              <w:t xml:space="preserve"> : TEEB pour l’eau et les zones humides a pour objet de montrer comment en reconnaissant, démontrant et comprenant les valeurs des services écosystémiques procurés par l’eau et les zones humides peuvent aboutir à une prise de décisions mieux informée, plus efficace et plus juste… Il porte sur les ‘valeurs’ des services écosystémiques fournis par l’eau et les zones humides, que l’on peut exprimer par de </w:t>
            </w:r>
            <w:r w:rsidRPr="00EE01B4">
              <w:rPr>
                <w:rFonts w:cs="Arial"/>
                <w:sz w:val="20"/>
                <w:szCs w:val="20"/>
                <w:lang w:val="fr-FR"/>
              </w:rPr>
              <w:lastRenderedPageBreak/>
              <w:t xml:space="preserve">nombreuses manières et méthodes … Le Chapitre 4 traite de la gestion intégrée des terres, de l’eau et des zones humides. Il souligne les différents instruments de politique pouvant être utilisés pour encourager la conservation et la restauration, notamment la gestion des sites, la régulation et l’aménagement des terres, les droits de propriété et les instruments basés sur le marché.  </w:t>
            </w:r>
          </w:p>
        </w:tc>
      </w:tr>
      <w:tr w:rsidR="006F2361" w:rsidRPr="00EE01B4" w:rsidTr="00D45DDB">
        <w:tc>
          <w:tcPr>
            <w:tcW w:w="3045" w:type="dxa"/>
          </w:tcPr>
          <w:p w:rsidR="006F2361" w:rsidRPr="00EE01B4" w:rsidRDefault="00DF180B" w:rsidP="00E3618F">
            <w:pPr>
              <w:spacing w:after="40"/>
              <w:rPr>
                <w:color w:val="0000FF" w:themeColor="hyperlink"/>
                <w:sz w:val="20"/>
                <w:szCs w:val="20"/>
                <w:u w:val="single"/>
                <w:lang w:val="fr-FR"/>
              </w:rPr>
            </w:pPr>
            <w:hyperlink r:id="rId79" w:history="1">
              <w:r w:rsidR="006F2361" w:rsidRPr="00EE01B4">
                <w:rPr>
                  <w:rStyle w:val="Hyperlink"/>
                  <w:sz w:val="20"/>
                  <w:szCs w:val="20"/>
                  <w:lang w:val="fr-FR"/>
                </w:rPr>
                <w:t>Destination zones humides : Pour un tourisme durable</w:t>
              </w:r>
            </w:hyperlink>
            <w:r w:rsidR="006F2361" w:rsidRPr="00EE01B4">
              <w:rPr>
                <w:sz w:val="20"/>
                <w:szCs w:val="20"/>
                <w:lang w:val="fr-FR"/>
              </w:rPr>
              <w:t xml:space="preserve"> </w:t>
            </w:r>
          </w:p>
        </w:tc>
        <w:tc>
          <w:tcPr>
            <w:tcW w:w="2167" w:type="dxa"/>
          </w:tcPr>
          <w:p w:rsidR="006F2361" w:rsidRPr="00EE01B4" w:rsidRDefault="006F2361" w:rsidP="00B5352E">
            <w:pPr>
              <w:rPr>
                <w:rFonts w:cs="Arial"/>
                <w:sz w:val="20"/>
                <w:szCs w:val="20"/>
                <w:lang w:val="fr-FR"/>
              </w:rPr>
            </w:pPr>
          </w:p>
        </w:tc>
        <w:tc>
          <w:tcPr>
            <w:tcW w:w="2621" w:type="dxa"/>
          </w:tcPr>
          <w:p w:rsidR="006F2361" w:rsidRPr="00EE01B4" w:rsidRDefault="006F2361" w:rsidP="00B5352E">
            <w:pPr>
              <w:rPr>
                <w:rFonts w:cs="Arial"/>
                <w:sz w:val="20"/>
                <w:szCs w:val="20"/>
                <w:lang w:val="fr-FR"/>
              </w:rPr>
            </w:pPr>
          </w:p>
        </w:tc>
        <w:tc>
          <w:tcPr>
            <w:tcW w:w="1258" w:type="dxa"/>
          </w:tcPr>
          <w:p w:rsidR="006F2361" w:rsidRPr="00EE01B4" w:rsidRDefault="006F2361" w:rsidP="00B5352E">
            <w:pPr>
              <w:rPr>
                <w:rFonts w:cs="Arial"/>
                <w:sz w:val="20"/>
                <w:szCs w:val="20"/>
                <w:lang w:val="fr-FR"/>
              </w:rPr>
            </w:pPr>
          </w:p>
        </w:tc>
        <w:tc>
          <w:tcPr>
            <w:tcW w:w="1258" w:type="dxa"/>
          </w:tcPr>
          <w:p w:rsidR="006F2361" w:rsidRPr="00EE01B4" w:rsidRDefault="006F2361" w:rsidP="00B5352E">
            <w:pPr>
              <w:rPr>
                <w:rFonts w:cs="Arial"/>
                <w:sz w:val="20"/>
                <w:szCs w:val="20"/>
                <w:lang w:val="fr-FR"/>
              </w:rPr>
            </w:pPr>
            <w:r w:rsidRPr="00EE01B4">
              <w:rPr>
                <w:sz w:val="20"/>
                <w:szCs w:val="20"/>
                <w:lang w:val="fr-FR"/>
              </w:rPr>
              <w:t>EFSA</w:t>
            </w:r>
          </w:p>
        </w:tc>
        <w:tc>
          <w:tcPr>
            <w:tcW w:w="5265" w:type="dxa"/>
          </w:tcPr>
          <w:p w:rsidR="006F2361" w:rsidRPr="00EE01B4" w:rsidRDefault="006F2361" w:rsidP="00B5352E">
            <w:pPr>
              <w:rPr>
                <w:sz w:val="20"/>
                <w:szCs w:val="20"/>
                <w:lang w:val="fr-FR"/>
              </w:rPr>
            </w:pPr>
            <w:r w:rsidRPr="00EE01B4">
              <w:rPr>
                <w:sz w:val="20"/>
                <w:szCs w:val="20"/>
                <w:lang w:val="fr-FR"/>
              </w:rPr>
              <w:t>Ramsar et l’Organisation mondiale du tourisme</w:t>
            </w:r>
          </w:p>
          <w:p w:rsidR="006F2361" w:rsidRPr="00EE01B4" w:rsidRDefault="006F2361" w:rsidP="00215626">
            <w:pPr>
              <w:rPr>
                <w:rFonts w:cs="Arial"/>
                <w:sz w:val="20"/>
                <w:szCs w:val="20"/>
                <w:lang w:val="fr-FR"/>
              </w:rPr>
            </w:pPr>
            <w:r w:rsidRPr="00EE01B4">
              <w:rPr>
                <w:rFonts w:cs="Arial"/>
                <w:sz w:val="20"/>
                <w:szCs w:val="20"/>
                <w:u w:val="single"/>
                <w:lang w:val="fr-FR"/>
              </w:rPr>
              <w:t>Résumé</w:t>
            </w:r>
            <w:r w:rsidRPr="00EE01B4">
              <w:rPr>
                <w:rFonts w:cs="Arial"/>
                <w:sz w:val="20"/>
                <w:szCs w:val="20"/>
                <w:lang w:val="fr-FR"/>
              </w:rPr>
              <w:t> : Quatorze études de cas forment la substance de cette publication ; elles illustrent la diversité des types de zones humides qui existent dans le monde et le niveau de développement très variable du tourisme dans les zones humides d’importance internationale (ou « Sites Ramsar »), tout en donnant des exemples de mesures efficaces de gestion du tourisme dans le secteur des zones humides. Ces informations visent en particulier les organes de gestion des zones humides mais devraient aussi être utiles à de nombreuses autres personnes.</w:t>
            </w:r>
          </w:p>
        </w:tc>
      </w:tr>
      <w:tr w:rsidR="006F2361" w:rsidRPr="00EE01B4" w:rsidTr="00D45DDB">
        <w:tc>
          <w:tcPr>
            <w:tcW w:w="3045" w:type="dxa"/>
          </w:tcPr>
          <w:p w:rsidR="006F2361" w:rsidRPr="00EE01B4" w:rsidRDefault="006F2361" w:rsidP="00E3618F">
            <w:pPr>
              <w:spacing w:after="40"/>
              <w:rPr>
                <w:rStyle w:val="Hyperlink"/>
                <w:sz w:val="20"/>
                <w:szCs w:val="20"/>
                <w:lang w:val="fr-FR"/>
              </w:rPr>
            </w:pPr>
            <w:r w:rsidRPr="00EE01B4">
              <w:rPr>
                <w:sz w:val="20"/>
                <w:szCs w:val="20"/>
                <w:lang w:val="fr-FR"/>
              </w:rPr>
              <w:fldChar w:fldCharType="begin"/>
            </w:r>
            <w:r w:rsidRPr="00EE01B4">
              <w:rPr>
                <w:sz w:val="20"/>
                <w:szCs w:val="20"/>
                <w:lang w:val="fr-FR"/>
              </w:rPr>
              <w:instrText xml:space="preserve"> HYPERLINK "http://www.ramsar.org/sites/default/files/documents/library/wec_hb_french_0.pdf" </w:instrText>
            </w:r>
            <w:r w:rsidRPr="00EE01B4">
              <w:rPr>
                <w:sz w:val="20"/>
                <w:szCs w:val="20"/>
                <w:lang w:val="fr-FR"/>
              </w:rPr>
              <w:fldChar w:fldCharType="separate"/>
            </w:r>
            <w:r w:rsidRPr="00EE01B4">
              <w:rPr>
                <w:rStyle w:val="Hyperlink"/>
                <w:sz w:val="20"/>
                <w:szCs w:val="20"/>
                <w:lang w:val="fr-FR"/>
              </w:rPr>
              <w:t>Manuel des meilleures</w:t>
            </w:r>
          </w:p>
          <w:p w:rsidR="006F2361" w:rsidRPr="00EE01B4" w:rsidRDefault="006F2361" w:rsidP="00E3618F">
            <w:pPr>
              <w:spacing w:after="40"/>
              <w:rPr>
                <w:rStyle w:val="Hyperlink"/>
                <w:sz w:val="20"/>
                <w:szCs w:val="20"/>
                <w:lang w:val="fr-FR"/>
              </w:rPr>
            </w:pPr>
            <w:r w:rsidRPr="00EE01B4">
              <w:rPr>
                <w:rStyle w:val="Hyperlink"/>
                <w:sz w:val="20"/>
                <w:szCs w:val="20"/>
                <w:lang w:val="fr-FR"/>
              </w:rPr>
              <w:t>pratiques de planification, de</w:t>
            </w:r>
          </w:p>
          <w:p w:rsidR="006F2361" w:rsidRPr="00EE01B4" w:rsidRDefault="006F2361" w:rsidP="00E3618F">
            <w:pPr>
              <w:spacing w:after="40"/>
              <w:rPr>
                <w:rStyle w:val="Hyperlink"/>
                <w:sz w:val="20"/>
                <w:szCs w:val="20"/>
                <w:lang w:val="fr-FR"/>
              </w:rPr>
            </w:pPr>
            <w:r w:rsidRPr="00EE01B4">
              <w:rPr>
                <w:rStyle w:val="Hyperlink"/>
                <w:sz w:val="20"/>
                <w:szCs w:val="20"/>
                <w:lang w:val="fr-FR"/>
              </w:rPr>
              <w:t>conception et d’exploitation</w:t>
            </w:r>
          </w:p>
          <w:p w:rsidR="006F2361" w:rsidRPr="00EE01B4" w:rsidRDefault="006F2361" w:rsidP="00E3618F">
            <w:pPr>
              <w:spacing w:after="40"/>
              <w:rPr>
                <w:rStyle w:val="Hyperlink"/>
                <w:sz w:val="20"/>
                <w:szCs w:val="20"/>
                <w:lang w:val="fr-FR"/>
              </w:rPr>
            </w:pPr>
            <w:r w:rsidRPr="00EE01B4">
              <w:rPr>
                <w:rStyle w:val="Hyperlink"/>
                <w:sz w:val="20"/>
                <w:szCs w:val="20"/>
                <w:lang w:val="fr-FR"/>
              </w:rPr>
              <w:t>de centres d’éducation aux</w:t>
            </w:r>
          </w:p>
          <w:p w:rsidR="006F2361" w:rsidRPr="00EE01B4" w:rsidRDefault="006F2361" w:rsidP="00E3618F">
            <w:pPr>
              <w:spacing w:after="40"/>
              <w:rPr>
                <w:color w:val="0000FF" w:themeColor="hyperlink"/>
                <w:sz w:val="20"/>
                <w:szCs w:val="20"/>
                <w:u w:val="single"/>
                <w:lang w:val="fr-FR"/>
              </w:rPr>
            </w:pPr>
            <w:r w:rsidRPr="00EE01B4">
              <w:rPr>
                <w:rStyle w:val="Hyperlink"/>
                <w:sz w:val="20"/>
                <w:szCs w:val="20"/>
                <w:lang w:val="fr-FR"/>
              </w:rPr>
              <w:t>zones humides</w:t>
            </w:r>
            <w:r w:rsidRPr="00EE01B4">
              <w:rPr>
                <w:sz w:val="20"/>
                <w:szCs w:val="20"/>
                <w:lang w:val="fr-FR"/>
              </w:rPr>
              <w:fldChar w:fldCharType="end"/>
            </w:r>
            <w:r w:rsidRPr="00EE01B4">
              <w:rPr>
                <w:sz w:val="20"/>
                <w:szCs w:val="20"/>
                <w:lang w:val="fr-FR"/>
              </w:rPr>
              <w:t xml:space="preserve"> </w:t>
            </w:r>
          </w:p>
        </w:tc>
        <w:tc>
          <w:tcPr>
            <w:tcW w:w="2167" w:type="dxa"/>
          </w:tcPr>
          <w:p w:rsidR="006F2361" w:rsidRPr="00EE01B4" w:rsidRDefault="006F2361" w:rsidP="00B5352E">
            <w:pPr>
              <w:rPr>
                <w:rFonts w:cs="Arial"/>
                <w:sz w:val="20"/>
                <w:szCs w:val="20"/>
                <w:lang w:val="fr-FR"/>
              </w:rPr>
            </w:pPr>
          </w:p>
        </w:tc>
        <w:tc>
          <w:tcPr>
            <w:tcW w:w="2621" w:type="dxa"/>
          </w:tcPr>
          <w:p w:rsidR="006F2361" w:rsidRPr="00EE01B4" w:rsidRDefault="006F2361" w:rsidP="00B5352E">
            <w:pPr>
              <w:rPr>
                <w:rFonts w:cs="Arial"/>
                <w:sz w:val="20"/>
                <w:szCs w:val="20"/>
                <w:lang w:val="fr-FR"/>
              </w:rPr>
            </w:pPr>
          </w:p>
        </w:tc>
        <w:tc>
          <w:tcPr>
            <w:tcW w:w="1258" w:type="dxa"/>
          </w:tcPr>
          <w:p w:rsidR="006F2361" w:rsidRPr="00EE01B4" w:rsidRDefault="006F2361" w:rsidP="00B5352E">
            <w:pPr>
              <w:rPr>
                <w:rFonts w:cs="Arial"/>
                <w:sz w:val="20"/>
                <w:szCs w:val="20"/>
                <w:lang w:val="fr-FR"/>
              </w:rPr>
            </w:pPr>
          </w:p>
        </w:tc>
        <w:tc>
          <w:tcPr>
            <w:tcW w:w="1258" w:type="dxa"/>
          </w:tcPr>
          <w:p w:rsidR="006F2361" w:rsidRPr="00EE01B4" w:rsidRDefault="006F2361" w:rsidP="00B5352E">
            <w:pPr>
              <w:rPr>
                <w:rFonts w:cs="Arial"/>
                <w:sz w:val="20"/>
                <w:szCs w:val="20"/>
                <w:lang w:val="fr-FR"/>
              </w:rPr>
            </w:pPr>
            <w:r w:rsidRPr="00EE01B4">
              <w:rPr>
                <w:sz w:val="20"/>
                <w:szCs w:val="20"/>
                <w:lang w:val="fr-FR"/>
              </w:rPr>
              <w:t>EKFAC</w:t>
            </w:r>
          </w:p>
        </w:tc>
        <w:tc>
          <w:tcPr>
            <w:tcW w:w="5265" w:type="dxa"/>
          </w:tcPr>
          <w:p w:rsidR="006F2361" w:rsidRPr="00EE01B4" w:rsidRDefault="006F2361" w:rsidP="00B5352E">
            <w:pPr>
              <w:rPr>
                <w:sz w:val="20"/>
                <w:szCs w:val="20"/>
                <w:lang w:val="en-GB"/>
              </w:rPr>
            </w:pPr>
            <w:r w:rsidRPr="00EE01B4">
              <w:rPr>
                <w:sz w:val="20"/>
                <w:szCs w:val="20"/>
                <w:lang w:val="en-GB"/>
              </w:rPr>
              <w:t>Ramsar et Environmental Ecosystem Research Foundation</w:t>
            </w:r>
          </w:p>
          <w:p w:rsidR="006F2361" w:rsidRPr="00EE01B4" w:rsidRDefault="006F2361" w:rsidP="00215626">
            <w:pPr>
              <w:rPr>
                <w:rFonts w:cs="Arial"/>
                <w:sz w:val="20"/>
                <w:szCs w:val="20"/>
                <w:lang w:val="fr-FR"/>
              </w:rPr>
            </w:pPr>
            <w:r w:rsidRPr="00EE01B4">
              <w:rPr>
                <w:rFonts w:cs="Arial"/>
                <w:sz w:val="20"/>
                <w:szCs w:val="20"/>
                <w:u w:val="single"/>
                <w:lang w:val="fr-FR"/>
              </w:rPr>
              <w:t>Résumé</w:t>
            </w:r>
            <w:r w:rsidRPr="00EE01B4">
              <w:rPr>
                <w:rFonts w:cs="Arial"/>
                <w:sz w:val="20"/>
                <w:szCs w:val="20"/>
                <w:lang w:val="fr-FR"/>
              </w:rPr>
              <w:t xml:space="preserve"> : Ce Manuel a pour objectif de présenter des leçons clés acquises d’une diversité de centres d’éducation aux zones humides du monde entier. Ces leçons devraient être utiles à tous ceux qui participent à la planification et à la création de nouveaux centres ainsi qu’à ceux qui remodèlent ou gèrent des centres existants… Le Manuel est divisé en chapitres et chacun de ces chapitres traite d’un élément de la planification, de la conception et de l’exploitation d’un centre d’éducation aux zones humides.  </w:t>
            </w:r>
          </w:p>
        </w:tc>
      </w:tr>
      <w:tr w:rsidR="006F2361" w:rsidRPr="00EE01B4" w:rsidTr="00D45DDB">
        <w:tc>
          <w:tcPr>
            <w:tcW w:w="3045" w:type="dxa"/>
          </w:tcPr>
          <w:p w:rsidR="006F2361" w:rsidRPr="00EE01B4" w:rsidRDefault="00DF180B" w:rsidP="00B5352E">
            <w:pPr>
              <w:spacing w:after="40"/>
              <w:rPr>
                <w:color w:val="0000FF" w:themeColor="hyperlink"/>
                <w:sz w:val="20"/>
                <w:szCs w:val="20"/>
                <w:u w:val="single"/>
                <w:lang w:val="en-GB"/>
              </w:rPr>
            </w:pPr>
            <w:hyperlink r:id="rId80" w:history="1">
              <w:r w:rsidR="006F2361" w:rsidRPr="00EE01B4">
                <w:rPr>
                  <w:rStyle w:val="Hyperlink"/>
                  <w:sz w:val="20"/>
                  <w:szCs w:val="20"/>
                  <w:lang w:val="en-GB"/>
                </w:rPr>
                <w:t>Our Country Our Way: Guidelines for Australian Indigenous Protected Area Management Plans</w:t>
              </w:r>
            </w:hyperlink>
          </w:p>
        </w:tc>
        <w:tc>
          <w:tcPr>
            <w:tcW w:w="2167" w:type="dxa"/>
          </w:tcPr>
          <w:p w:rsidR="006F2361" w:rsidRPr="00EE01B4" w:rsidRDefault="006F2361" w:rsidP="00B5352E">
            <w:pPr>
              <w:rPr>
                <w:rFonts w:cs="Arial"/>
                <w:sz w:val="20"/>
                <w:szCs w:val="20"/>
                <w:lang w:val="en-GB"/>
              </w:rPr>
            </w:pPr>
          </w:p>
        </w:tc>
        <w:tc>
          <w:tcPr>
            <w:tcW w:w="2621" w:type="dxa"/>
          </w:tcPr>
          <w:p w:rsidR="006F2361" w:rsidRPr="00EE01B4" w:rsidRDefault="006F2361" w:rsidP="00B5352E">
            <w:pPr>
              <w:rPr>
                <w:rFonts w:cs="Arial"/>
                <w:sz w:val="20"/>
                <w:szCs w:val="20"/>
                <w:lang w:val="en-GB"/>
              </w:rPr>
            </w:pPr>
          </w:p>
        </w:tc>
        <w:tc>
          <w:tcPr>
            <w:tcW w:w="1258" w:type="dxa"/>
          </w:tcPr>
          <w:p w:rsidR="006F2361" w:rsidRPr="00EE01B4" w:rsidRDefault="006F2361" w:rsidP="00B5352E">
            <w:pPr>
              <w:rPr>
                <w:rFonts w:cs="Arial"/>
                <w:sz w:val="20"/>
                <w:szCs w:val="20"/>
                <w:lang w:val="en-GB"/>
              </w:rPr>
            </w:pPr>
          </w:p>
        </w:tc>
        <w:tc>
          <w:tcPr>
            <w:tcW w:w="1258" w:type="dxa"/>
          </w:tcPr>
          <w:p w:rsidR="006F2361" w:rsidRPr="00EE01B4" w:rsidRDefault="006F2361" w:rsidP="00B5352E">
            <w:pPr>
              <w:rPr>
                <w:rFonts w:cs="Arial"/>
                <w:sz w:val="20"/>
                <w:szCs w:val="20"/>
                <w:lang w:val="fr-FR"/>
              </w:rPr>
            </w:pPr>
            <w:r w:rsidRPr="00EE01B4">
              <w:rPr>
                <w:sz w:val="20"/>
                <w:szCs w:val="20"/>
                <w:lang w:val="fr-FR"/>
              </w:rPr>
              <w:t>E</w:t>
            </w:r>
          </w:p>
        </w:tc>
        <w:tc>
          <w:tcPr>
            <w:tcW w:w="5265" w:type="dxa"/>
          </w:tcPr>
          <w:p w:rsidR="006F2361" w:rsidRPr="00EE01B4" w:rsidRDefault="006F2361" w:rsidP="00B5352E">
            <w:pPr>
              <w:rPr>
                <w:sz w:val="20"/>
                <w:szCs w:val="20"/>
                <w:lang w:val="fr-FR"/>
              </w:rPr>
            </w:pPr>
            <w:r w:rsidRPr="00EE01B4">
              <w:rPr>
                <w:sz w:val="20"/>
                <w:szCs w:val="20"/>
                <w:lang w:val="fr-FR"/>
              </w:rPr>
              <w:t>Gouvernement australien</w:t>
            </w:r>
          </w:p>
          <w:p w:rsidR="006F2361" w:rsidRPr="00EE01B4" w:rsidRDefault="006F2361" w:rsidP="005C1E37">
            <w:pPr>
              <w:rPr>
                <w:rFonts w:cs="Arial"/>
                <w:sz w:val="20"/>
                <w:szCs w:val="20"/>
                <w:lang w:val="fr-FR"/>
              </w:rPr>
            </w:pPr>
            <w:r w:rsidRPr="00EE01B4">
              <w:rPr>
                <w:rFonts w:cs="Arial"/>
                <w:sz w:val="20"/>
                <w:szCs w:val="20"/>
                <w:u w:val="single"/>
                <w:lang w:val="fr-FR"/>
              </w:rPr>
              <w:t>Résumé</w:t>
            </w:r>
            <w:r w:rsidRPr="00EE01B4">
              <w:rPr>
                <w:rFonts w:cs="Arial"/>
                <w:sz w:val="20"/>
                <w:szCs w:val="20"/>
                <w:lang w:val="fr-FR"/>
              </w:rPr>
              <w:t xml:space="preserve"> : Our Country Our </w:t>
            </w:r>
            <w:proofErr w:type="spellStart"/>
            <w:r w:rsidRPr="00EE01B4">
              <w:rPr>
                <w:rFonts w:cs="Arial"/>
                <w:sz w:val="20"/>
                <w:szCs w:val="20"/>
                <w:lang w:val="fr-FR"/>
              </w:rPr>
              <w:t>Way</w:t>
            </w:r>
            <w:proofErr w:type="spellEnd"/>
            <w:r w:rsidRPr="00EE01B4">
              <w:rPr>
                <w:rFonts w:cs="Arial"/>
                <w:sz w:val="20"/>
                <w:szCs w:val="20"/>
                <w:lang w:val="fr-FR"/>
              </w:rPr>
              <w:t xml:space="preserve"> a pour objectif d’aider les propriétaires d’aires protégées autochtones, leurs gardiens et leurs administrateurs, y compris ceux qui participent à des projets de cogestion, à produire des plans de gestion garantissant des résultats utiles pour les peuples autochtones et la nation australienne. Les plans de gestion des aires protégées autochtones rassemblent une gestion fondée sur les relations entre les peuples autochtones, le pays, le droit traditionnel, la coutume et la culture avec les systèmes </w:t>
            </w:r>
            <w:r w:rsidRPr="00EE01B4">
              <w:rPr>
                <w:rFonts w:cs="Arial"/>
                <w:sz w:val="20"/>
                <w:szCs w:val="20"/>
                <w:lang w:val="fr-FR"/>
              </w:rPr>
              <w:lastRenderedPageBreak/>
              <w:t xml:space="preserve">australiens et internationaux de gestion des aires protégées. </w:t>
            </w:r>
          </w:p>
        </w:tc>
      </w:tr>
      <w:tr w:rsidR="006F2361" w:rsidRPr="00EE01B4" w:rsidTr="00D45DDB">
        <w:tc>
          <w:tcPr>
            <w:tcW w:w="3045" w:type="dxa"/>
          </w:tcPr>
          <w:p w:rsidR="006F2361" w:rsidRPr="00EE01B4" w:rsidRDefault="00DF180B" w:rsidP="00B5352E">
            <w:pPr>
              <w:spacing w:after="40"/>
              <w:rPr>
                <w:color w:val="0000FF" w:themeColor="hyperlink"/>
                <w:sz w:val="20"/>
                <w:szCs w:val="20"/>
                <w:u w:val="single"/>
                <w:lang w:val="en-GB"/>
              </w:rPr>
            </w:pPr>
            <w:hyperlink r:id="rId81" w:history="1">
              <w:r w:rsidR="006F2361" w:rsidRPr="00EE01B4">
                <w:rPr>
                  <w:rStyle w:val="Hyperlink"/>
                  <w:sz w:val="20"/>
                  <w:szCs w:val="20"/>
                  <w:lang w:val="en-GB"/>
                </w:rPr>
                <w:t>Towards a Community of Practice of Wetland Project Managers: Lessons Learned from Central and West Asia and the Mediterranean</w:t>
              </w:r>
            </w:hyperlink>
          </w:p>
        </w:tc>
        <w:tc>
          <w:tcPr>
            <w:tcW w:w="2167" w:type="dxa"/>
          </w:tcPr>
          <w:p w:rsidR="006F2361" w:rsidRPr="00EE01B4" w:rsidRDefault="006F2361" w:rsidP="00B5352E">
            <w:pPr>
              <w:rPr>
                <w:rFonts w:cs="Arial"/>
                <w:sz w:val="20"/>
                <w:szCs w:val="20"/>
                <w:lang w:val="en-GB"/>
              </w:rPr>
            </w:pPr>
          </w:p>
        </w:tc>
        <w:tc>
          <w:tcPr>
            <w:tcW w:w="2621" w:type="dxa"/>
          </w:tcPr>
          <w:p w:rsidR="006F2361" w:rsidRPr="00EE01B4" w:rsidRDefault="006F2361" w:rsidP="00B5352E">
            <w:pPr>
              <w:rPr>
                <w:rFonts w:cs="Arial"/>
                <w:sz w:val="20"/>
                <w:szCs w:val="20"/>
                <w:lang w:val="en-GB"/>
              </w:rPr>
            </w:pPr>
          </w:p>
        </w:tc>
        <w:tc>
          <w:tcPr>
            <w:tcW w:w="1258" w:type="dxa"/>
          </w:tcPr>
          <w:p w:rsidR="006F2361" w:rsidRPr="00EE01B4" w:rsidRDefault="006F2361" w:rsidP="00B5352E">
            <w:pPr>
              <w:rPr>
                <w:rFonts w:cs="Arial"/>
                <w:sz w:val="20"/>
                <w:szCs w:val="20"/>
                <w:lang w:val="en-GB"/>
              </w:rPr>
            </w:pPr>
          </w:p>
        </w:tc>
        <w:tc>
          <w:tcPr>
            <w:tcW w:w="1258" w:type="dxa"/>
          </w:tcPr>
          <w:p w:rsidR="006F2361" w:rsidRPr="00EE01B4" w:rsidRDefault="006F2361" w:rsidP="002E2BFF">
            <w:pPr>
              <w:rPr>
                <w:rFonts w:cs="Arial"/>
                <w:sz w:val="20"/>
                <w:szCs w:val="20"/>
                <w:lang w:val="fr-FR"/>
              </w:rPr>
            </w:pPr>
            <w:r w:rsidRPr="00EE01B4">
              <w:rPr>
                <w:sz w:val="20"/>
                <w:szCs w:val="20"/>
                <w:lang w:val="fr-FR"/>
              </w:rPr>
              <w:t>E et Farsi</w:t>
            </w:r>
          </w:p>
        </w:tc>
        <w:tc>
          <w:tcPr>
            <w:tcW w:w="5265" w:type="dxa"/>
          </w:tcPr>
          <w:p w:rsidR="006F2361" w:rsidRPr="00EE01B4" w:rsidRDefault="006F2361" w:rsidP="00B5352E">
            <w:pPr>
              <w:rPr>
                <w:rFonts w:cs="Arial"/>
                <w:sz w:val="20"/>
                <w:szCs w:val="20"/>
                <w:lang w:val="fr-FR"/>
              </w:rPr>
            </w:pPr>
            <w:r w:rsidRPr="00EE01B4">
              <w:rPr>
                <w:rFonts w:cs="Arial"/>
                <w:sz w:val="20"/>
                <w:szCs w:val="20"/>
                <w:lang w:val="fr-FR"/>
              </w:rPr>
              <w:t>DOE-Iran,</w:t>
            </w:r>
          </w:p>
          <w:p w:rsidR="006F2361" w:rsidRPr="00EE01B4" w:rsidRDefault="006F2361" w:rsidP="00B5352E">
            <w:pPr>
              <w:rPr>
                <w:rFonts w:cs="Arial"/>
                <w:sz w:val="20"/>
                <w:szCs w:val="20"/>
                <w:lang w:val="fr-FR"/>
              </w:rPr>
            </w:pPr>
            <w:r w:rsidRPr="00EE01B4">
              <w:rPr>
                <w:rFonts w:cs="Arial"/>
                <w:sz w:val="20"/>
                <w:szCs w:val="20"/>
                <w:lang w:val="fr-FR"/>
              </w:rPr>
              <w:t>PNUD, FEM et autres</w:t>
            </w:r>
          </w:p>
          <w:p w:rsidR="006F2361" w:rsidRPr="00EE01B4" w:rsidRDefault="006F2361" w:rsidP="002E2BFF">
            <w:pPr>
              <w:rPr>
                <w:rFonts w:cs="Arial"/>
                <w:sz w:val="20"/>
                <w:szCs w:val="20"/>
                <w:lang w:val="fr-FR"/>
              </w:rPr>
            </w:pPr>
            <w:r w:rsidRPr="00EE01B4">
              <w:rPr>
                <w:rFonts w:cs="Arial"/>
                <w:sz w:val="20"/>
                <w:szCs w:val="20"/>
                <w:u w:val="single"/>
                <w:lang w:val="fr-FR"/>
              </w:rPr>
              <w:t>Résumé</w:t>
            </w:r>
            <w:r w:rsidRPr="00EE01B4">
              <w:rPr>
                <w:rFonts w:cs="Arial"/>
                <w:sz w:val="20"/>
                <w:szCs w:val="20"/>
                <w:lang w:val="fr-FR"/>
              </w:rPr>
              <w:t xml:space="preserve"> : Échanger les meilleures pratiques et les enseignements acquis concernant la conservation et la gestion des zones humides entre les administrateurs de projets. Le projet de conservation des zones humides iraniennes et le Centre régional Ramsar pour la formation et la recherche en Asie de l’Ouest et centrale ont organisé conjointement l’atelier intitulé ‘Vers une communauté de pratiques’ pour les administrateurs de projets relatifs aux zones humides en octobre 2010. Cet ouvrage de référence, inspiré de l’atelier mentionné, présente et enregistre l’expérience de 11 projets pilotes en matière de gestion des zones humides. </w:t>
            </w:r>
          </w:p>
        </w:tc>
      </w:tr>
    </w:tbl>
    <w:p w:rsidR="004E4484" w:rsidRPr="00EE01B4" w:rsidRDefault="004E4484" w:rsidP="00B5352E">
      <w:pPr>
        <w:spacing w:after="0" w:line="240" w:lineRule="auto"/>
        <w:rPr>
          <w:rFonts w:cs="Arial"/>
          <w:lang w:val="fr-FR"/>
        </w:rPr>
      </w:pPr>
    </w:p>
    <w:p w:rsidR="004E4484" w:rsidRPr="00EE01B4" w:rsidRDefault="004E4484" w:rsidP="00B5352E">
      <w:pPr>
        <w:spacing w:after="0" w:line="240" w:lineRule="auto"/>
        <w:rPr>
          <w:rFonts w:cs="Arial"/>
          <w:lang w:val="fr-FR"/>
        </w:rPr>
      </w:pPr>
    </w:p>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3033"/>
        <w:gridCol w:w="2164"/>
        <w:gridCol w:w="2614"/>
        <w:gridCol w:w="1256"/>
        <w:gridCol w:w="1288"/>
        <w:gridCol w:w="5259"/>
      </w:tblGrid>
      <w:tr w:rsidR="004E4484" w:rsidRPr="00EE01B4" w:rsidTr="009D62D8">
        <w:tc>
          <w:tcPr>
            <w:tcW w:w="15614" w:type="dxa"/>
            <w:gridSpan w:val="6"/>
            <w:shd w:val="clear" w:color="auto" w:fill="FBD4B4" w:themeFill="accent6" w:themeFillTint="66"/>
          </w:tcPr>
          <w:p w:rsidR="004E4484" w:rsidRPr="00EE01B4" w:rsidRDefault="00557A68" w:rsidP="008E750B">
            <w:pPr>
              <w:jc w:val="center"/>
              <w:rPr>
                <w:rFonts w:cs="Arial"/>
                <w:b/>
                <w:sz w:val="20"/>
                <w:szCs w:val="20"/>
                <w:lang w:val="fr-FR"/>
              </w:rPr>
            </w:pPr>
            <w:r w:rsidRPr="00EE01B4">
              <w:rPr>
                <w:rFonts w:cs="Arial"/>
                <w:b/>
                <w:sz w:val="20"/>
                <w:szCs w:val="20"/>
                <w:lang w:val="fr-CH"/>
              </w:rPr>
              <w:t xml:space="preserve">Domaine de travail thématique no 3 : </w:t>
            </w:r>
            <w:r w:rsidR="00E26A7E" w:rsidRPr="00EE01B4">
              <w:rPr>
                <w:b/>
                <w:sz w:val="20"/>
                <w:szCs w:val="20"/>
              </w:rPr>
              <w:t>Méthodologies pour l’évaluation économique et non économique des valeurs des fonctions et services des zones humides, et méthodologies et échange de connaissances améliorés sur les moteurs actuels et futurs de la perte et de la dégradation des zones humides</w:t>
            </w:r>
          </w:p>
        </w:tc>
      </w:tr>
      <w:tr w:rsidR="004E4484" w:rsidRPr="00EE01B4" w:rsidTr="009D62D8">
        <w:tblPrEx>
          <w:tblBorders>
            <w:bottom w:val="single" w:sz="4" w:space="0" w:color="auto"/>
            <w:insideH w:val="single" w:sz="4" w:space="0" w:color="auto"/>
            <w:insideV w:val="single" w:sz="4" w:space="0" w:color="auto"/>
          </w:tblBorders>
        </w:tblPrEx>
        <w:tc>
          <w:tcPr>
            <w:tcW w:w="3033" w:type="dxa"/>
            <w:shd w:val="clear" w:color="auto" w:fill="FBD4B4" w:themeFill="accent6" w:themeFillTint="66"/>
          </w:tcPr>
          <w:p w:rsidR="004E4484" w:rsidRPr="00EE01B4" w:rsidRDefault="002E2BFF" w:rsidP="003207C6">
            <w:pPr>
              <w:jc w:val="center"/>
              <w:rPr>
                <w:rFonts w:cs="Arial"/>
                <w:b/>
                <w:sz w:val="20"/>
                <w:szCs w:val="20"/>
                <w:lang w:val="fr-FR"/>
              </w:rPr>
            </w:pPr>
            <w:r w:rsidRPr="00EE01B4">
              <w:rPr>
                <w:rFonts w:cs="Arial"/>
                <w:b/>
                <w:sz w:val="20"/>
                <w:szCs w:val="20"/>
                <w:lang w:val="fr-FR"/>
              </w:rPr>
              <w:t>Titre</w:t>
            </w:r>
          </w:p>
        </w:tc>
        <w:tc>
          <w:tcPr>
            <w:tcW w:w="2164" w:type="dxa"/>
            <w:shd w:val="clear" w:color="auto" w:fill="FBD4B4" w:themeFill="accent6" w:themeFillTint="66"/>
          </w:tcPr>
          <w:p w:rsidR="004E4484" w:rsidRPr="00EE01B4" w:rsidRDefault="00E35FB9" w:rsidP="002E2BFF">
            <w:pPr>
              <w:jc w:val="center"/>
              <w:rPr>
                <w:rFonts w:cs="Arial"/>
                <w:b/>
                <w:sz w:val="20"/>
                <w:szCs w:val="20"/>
                <w:lang w:val="fr-FR"/>
              </w:rPr>
            </w:pPr>
            <w:r w:rsidRPr="00EE01B4">
              <w:rPr>
                <w:rFonts w:cs="Arial"/>
                <w:b/>
                <w:sz w:val="20"/>
                <w:szCs w:val="20"/>
                <w:lang w:val="fr-FR"/>
              </w:rPr>
              <w:t xml:space="preserve">Type </w:t>
            </w:r>
            <w:r w:rsidR="002E2BFF" w:rsidRPr="00EE01B4">
              <w:rPr>
                <w:rFonts w:cs="Arial"/>
                <w:b/>
                <w:sz w:val="20"/>
                <w:szCs w:val="20"/>
                <w:lang w:val="fr-FR"/>
              </w:rPr>
              <w:t>d’orientation</w:t>
            </w:r>
          </w:p>
        </w:tc>
        <w:tc>
          <w:tcPr>
            <w:tcW w:w="2614" w:type="dxa"/>
            <w:shd w:val="clear" w:color="auto" w:fill="FBD4B4" w:themeFill="accent6" w:themeFillTint="66"/>
          </w:tcPr>
          <w:p w:rsidR="004E4484" w:rsidRPr="00EE01B4" w:rsidRDefault="002E2BFF" w:rsidP="003207C6">
            <w:pPr>
              <w:jc w:val="center"/>
              <w:rPr>
                <w:rFonts w:cs="Arial"/>
                <w:b/>
                <w:sz w:val="20"/>
                <w:szCs w:val="20"/>
                <w:lang w:val="fr-FR"/>
              </w:rPr>
            </w:pPr>
            <w:r w:rsidRPr="00EE01B4">
              <w:rPr>
                <w:rFonts w:cs="Arial"/>
                <w:b/>
                <w:sz w:val="20"/>
                <w:szCs w:val="20"/>
                <w:lang w:val="fr-FR"/>
              </w:rPr>
              <w:t>Public (praticiens, décideurs, scientifiques)</w:t>
            </w:r>
          </w:p>
        </w:tc>
        <w:tc>
          <w:tcPr>
            <w:tcW w:w="1256" w:type="dxa"/>
            <w:shd w:val="clear" w:color="auto" w:fill="FBD4B4" w:themeFill="accent6" w:themeFillTint="66"/>
          </w:tcPr>
          <w:p w:rsidR="004E4484" w:rsidRPr="00EE01B4" w:rsidRDefault="002E2BFF" w:rsidP="002E2BFF">
            <w:pPr>
              <w:jc w:val="center"/>
              <w:rPr>
                <w:rFonts w:cs="Arial"/>
                <w:b/>
                <w:sz w:val="20"/>
                <w:szCs w:val="20"/>
                <w:lang w:val="fr-FR"/>
              </w:rPr>
            </w:pPr>
            <w:r w:rsidRPr="00EE01B4">
              <w:rPr>
                <w:rFonts w:cs="Arial"/>
                <w:b/>
                <w:sz w:val="20"/>
                <w:szCs w:val="20"/>
                <w:lang w:val="fr-FR"/>
              </w:rPr>
              <w:t>Manuel Ramsar</w:t>
            </w:r>
          </w:p>
        </w:tc>
        <w:tc>
          <w:tcPr>
            <w:tcW w:w="1288" w:type="dxa"/>
            <w:shd w:val="clear" w:color="auto" w:fill="FBD4B4" w:themeFill="accent6" w:themeFillTint="66"/>
          </w:tcPr>
          <w:p w:rsidR="004E4484" w:rsidRPr="00EE01B4" w:rsidRDefault="004E4484" w:rsidP="002E2BFF">
            <w:pPr>
              <w:jc w:val="center"/>
              <w:rPr>
                <w:rFonts w:cs="Arial"/>
                <w:b/>
                <w:sz w:val="20"/>
                <w:szCs w:val="20"/>
                <w:lang w:val="fr-FR"/>
              </w:rPr>
            </w:pPr>
            <w:r w:rsidRPr="00EE01B4">
              <w:rPr>
                <w:rFonts w:cs="Arial"/>
                <w:b/>
                <w:sz w:val="20"/>
                <w:szCs w:val="20"/>
                <w:lang w:val="fr-FR"/>
              </w:rPr>
              <w:t>Langue</w:t>
            </w:r>
            <w:r w:rsidRPr="00EE01B4">
              <w:rPr>
                <w:rStyle w:val="FootnoteReference"/>
                <w:rFonts w:cs="Arial"/>
                <w:b/>
                <w:sz w:val="20"/>
                <w:szCs w:val="20"/>
                <w:lang w:val="fr-FR"/>
              </w:rPr>
              <w:footnoteReference w:id="3"/>
            </w:r>
          </w:p>
        </w:tc>
        <w:tc>
          <w:tcPr>
            <w:tcW w:w="5259" w:type="dxa"/>
            <w:shd w:val="clear" w:color="auto" w:fill="FBD4B4" w:themeFill="accent6" w:themeFillTint="66"/>
          </w:tcPr>
          <w:p w:rsidR="004E4484" w:rsidRPr="00EE01B4" w:rsidRDefault="00263CF9" w:rsidP="003207C6">
            <w:pPr>
              <w:jc w:val="center"/>
              <w:rPr>
                <w:rFonts w:cs="Arial"/>
                <w:b/>
                <w:sz w:val="20"/>
                <w:szCs w:val="20"/>
                <w:lang w:val="fr-FR"/>
              </w:rPr>
            </w:pPr>
            <w:r w:rsidRPr="00EE01B4">
              <w:rPr>
                <w:rFonts w:cs="Arial"/>
                <w:b/>
                <w:sz w:val="20"/>
                <w:szCs w:val="20"/>
                <w:lang w:val="fr-FR"/>
              </w:rPr>
              <w:t>Notes</w:t>
            </w:r>
          </w:p>
        </w:tc>
      </w:tr>
      <w:tr w:rsidR="00A02F5E" w:rsidRPr="00EE01B4" w:rsidTr="00A02F5E">
        <w:tblPrEx>
          <w:tblBorders>
            <w:bottom w:val="single" w:sz="4" w:space="0" w:color="auto"/>
            <w:insideH w:val="single" w:sz="4" w:space="0" w:color="auto"/>
            <w:insideV w:val="single" w:sz="4" w:space="0" w:color="auto"/>
          </w:tblBorders>
        </w:tblPrEx>
        <w:tc>
          <w:tcPr>
            <w:tcW w:w="15614" w:type="dxa"/>
            <w:gridSpan w:val="6"/>
            <w:shd w:val="clear" w:color="auto" w:fill="F2F2F2" w:themeFill="background1" w:themeFillShade="F2"/>
          </w:tcPr>
          <w:p w:rsidR="00A02F5E" w:rsidRPr="00EE01B4" w:rsidRDefault="002E2BFF" w:rsidP="002E2BFF">
            <w:pPr>
              <w:jc w:val="center"/>
              <w:rPr>
                <w:rFonts w:cs="Arial"/>
                <w:b/>
                <w:sz w:val="20"/>
                <w:szCs w:val="20"/>
                <w:lang w:val="fr-FR"/>
              </w:rPr>
            </w:pPr>
            <w:r w:rsidRPr="00EE01B4">
              <w:rPr>
                <w:b/>
                <w:sz w:val="20"/>
                <w:szCs w:val="20"/>
                <w:lang w:val="fr-FR"/>
              </w:rPr>
              <w:t xml:space="preserve">Orientations </w:t>
            </w:r>
            <w:r w:rsidR="00665782" w:rsidRPr="00EE01B4">
              <w:rPr>
                <w:b/>
                <w:sz w:val="20"/>
                <w:szCs w:val="20"/>
                <w:lang w:val="fr-FR"/>
              </w:rPr>
              <w:t xml:space="preserve">Ramsar </w:t>
            </w:r>
          </w:p>
        </w:tc>
      </w:tr>
      <w:tr w:rsidR="00557A68" w:rsidRPr="00EE01B4" w:rsidTr="009D62D8">
        <w:tblPrEx>
          <w:tblBorders>
            <w:bottom w:val="single" w:sz="4" w:space="0" w:color="auto"/>
            <w:insideH w:val="single" w:sz="4" w:space="0" w:color="auto"/>
            <w:insideV w:val="single" w:sz="4" w:space="0" w:color="auto"/>
          </w:tblBorders>
        </w:tblPrEx>
        <w:tc>
          <w:tcPr>
            <w:tcW w:w="15614" w:type="dxa"/>
            <w:gridSpan w:val="6"/>
            <w:shd w:val="clear" w:color="auto" w:fill="FBD4B4" w:themeFill="accent6" w:themeFillTint="66"/>
          </w:tcPr>
          <w:p w:rsidR="00557A68" w:rsidRPr="00EE01B4" w:rsidRDefault="00557A68" w:rsidP="00B5352E">
            <w:pPr>
              <w:spacing w:after="40"/>
              <w:rPr>
                <w:sz w:val="20"/>
                <w:szCs w:val="20"/>
                <w:lang w:val="fr-FR"/>
              </w:rPr>
            </w:pPr>
            <w:r w:rsidRPr="00EE01B4">
              <w:rPr>
                <w:b/>
                <w:sz w:val="20"/>
                <w:szCs w:val="20"/>
                <w:lang w:val="fr-CH"/>
              </w:rPr>
              <w:t>Mise à jour 2016-2019</w:t>
            </w:r>
          </w:p>
        </w:tc>
      </w:tr>
      <w:tr w:rsidR="00557A68" w:rsidRPr="00EE01B4" w:rsidTr="0025591A">
        <w:tblPrEx>
          <w:tblBorders>
            <w:bottom w:val="single" w:sz="4" w:space="0" w:color="auto"/>
            <w:insideH w:val="single" w:sz="4" w:space="0" w:color="auto"/>
            <w:insideV w:val="single" w:sz="4" w:space="0" w:color="auto"/>
          </w:tblBorders>
        </w:tblPrEx>
        <w:tc>
          <w:tcPr>
            <w:tcW w:w="3033" w:type="dxa"/>
          </w:tcPr>
          <w:p w:rsidR="00557A68" w:rsidRPr="00EE01B4" w:rsidRDefault="00DF180B" w:rsidP="007F2A42">
            <w:pPr>
              <w:rPr>
                <w:sz w:val="20"/>
                <w:szCs w:val="20"/>
                <w:lang w:val="fr-CH"/>
              </w:rPr>
            </w:pPr>
            <w:hyperlink r:id="rId82" w:history="1">
              <w:r w:rsidR="00557A68" w:rsidRPr="00EE01B4">
                <w:rPr>
                  <w:rStyle w:val="Hyperlink"/>
                  <w:sz w:val="20"/>
                  <w:szCs w:val="20"/>
                  <w:lang w:val="fr-CH"/>
                </w:rPr>
                <w:t xml:space="preserve">Résolution XIII.17 : Évaluer rapidement les services écosystémiques des zones humides </w:t>
              </w:r>
            </w:hyperlink>
          </w:p>
        </w:tc>
        <w:tc>
          <w:tcPr>
            <w:tcW w:w="2164" w:type="dxa"/>
          </w:tcPr>
          <w:p w:rsidR="00557A68" w:rsidRPr="00EE01B4" w:rsidRDefault="00557A68" w:rsidP="007F2A42">
            <w:pPr>
              <w:rPr>
                <w:rFonts w:cs="Arial"/>
                <w:sz w:val="20"/>
                <w:szCs w:val="20"/>
                <w:lang w:val="fr-CH"/>
              </w:rPr>
            </w:pPr>
            <w:r w:rsidRPr="00EE01B4">
              <w:rPr>
                <w:rFonts w:cs="Arial"/>
                <w:sz w:val="20"/>
                <w:szCs w:val="20"/>
                <w:lang w:val="fr-CH"/>
              </w:rPr>
              <w:t>Technique</w:t>
            </w:r>
          </w:p>
        </w:tc>
        <w:tc>
          <w:tcPr>
            <w:tcW w:w="2614" w:type="dxa"/>
          </w:tcPr>
          <w:p w:rsidR="00557A68" w:rsidRPr="00EE01B4" w:rsidRDefault="00557A68" w:rsidP="007F2A42">
            <w:pPr>
              <w:rPr>
                <w:rFonts w:cs="Arial"/>
                <w:sz w:val="20"/>
                <w:szCs w:val="20"/>
                <w:lang w:val="fr-CH"/>
              </w:rPr>
            </w:pPr>
            <w:r w:rsidRPr="00EE01B4">
              <w:rPr>
                <w:rFonts w:cs="Arial"/>
                <w:sz w:val="20"/>
                <w:szCs w:val="20"/>
                <w:lang w:val="fr-CH"/>
              </w:rPr>
              <w:t>Décideurs, praticiens</w:t>
            </w:r>
          </w:p>
        </w:tc>
        <w:tc>
          <w:tcPr>
            <w:tcW w:w="1256" w:type="dxa"/>
          </w:tcPr>
          <w:p w:rsidR="00557A68" w:rsidRPr="00EE01B4" w:rsidRDefault="00557A68" w:rsidP="007F2A42">
            <w:pPr>
              <w:rPr>
                <w:rFonts w:cs="Arial"/>
                <w:sz w:val="20"/>
                <w:szCs w:val="20"/>
                <w:lang w:val="fr-CH"/>
              </w:rPr>
            </w:pPr>
            <w:r w:rsidRPr="00EE01B4">
              <w:rPr>
                <w:rFonts w:cs="Arial"/>
                <w:sz w:val="20"/>
                <w:szCs w:val="20"/>
                <w:lang w:val="fr-CH"/>
              </w:rPr>
              <w:t>Pas encore inclus dans un Manuel</w:t>
            </w:r>
          </w:p>
        </w:tc>
        <w:tc>
          <w:tcPr>
            <w:tcW w:w="1288" w:type="dxa"/>
          </w:tcPr>
          <w:p w:rsidR="00557A68" w:rsidRPr="00EE01B4" w:rsidRDefault="00557A68" w:rsidP="007F2A42">
            <w:pPr>
              <w:rPr>
                <w:sz w:val="20"/>
                <w:szCs w:val="20"/>
                <w:lang w:val="fr-CH"/>
              </w:rPr>
            </w:pPr>
            <w:r w:rsidRPr="00EE01B4">
              <w:rPr>
                <w:sz w:val="20"/>
                <w:szCs w:val="20"/>
                <w:lang w:val="fr-CH"/>
              </w:rPr>
              <w:t>EFS</w:t>
            </w:r>
          </w:p>
        </w:tc>
        <w:tc>
          <w:tcPr>
            <w:tcW w:w="5259" w:type="dxa"/>
          </w:tcPr>
          <w:p w:rsidR="00557A68" w:rsidRPr="00EE01B4" w:rsidRDefault="00557A68" w:rsidP="007F2A42">
            <w:pPr>
              <w:rPr>
                <w:sz w:val="20"/>
                <w:szCs w:val="20"/>
                <w:lang w:val="fr-CH"/>
              </w:rPr>
            </w:pPr>
          </w:p>
        </w:tc>
      </w:tr>
      <w:tr w:rsidR="00557A68" w:rsidRPr="00EE01B4" w:rsidTr="0025591A">
        <w:tblPrEx>
          <w:tblBorders>
            <w:bottom w:val="single" w:sz="4" w:space="0" w:color="auto"/>
            <w:insideH w:val="single" w:sz="4" w:space="0" w:color="auto"/>
            <w:insideV w:val="single" w:sz="4" w:space="0" w:color="auto"/>
          </w:tblBorders>
        </w:tblPrEx>
        <w:tc>
          <w:tcPr>
            <w:tcW w:w="3033" w:type="dxa"/>
          </w:tcPr>
          <w:p w:rsidR="00557A68" w:rsidRPr="00EE01B4" w:rsidRDefault="00DF180B" w:rsidP="007F2A42">
            <w:pPr>
              <w:rPr>
                <w:sz w:val="20"/>
                <w:szCs w:val="20"/>
                <w:lang w:val="fr-CH"/>
              </w:rPr>
            </w:pPr>
            <w:hyperlink r:id="rId83" w:history="1">
              <w:r w:rsidR="00557A68" w:rsidRPr="00EE01B4">
                <w:rPr>
                  <w:rStyle w:val="Hyperlink"/>
                  <w:sz w:val="20"/>
                  <w:szCs w:val="20"/>
                  <w:lang w:val="fr-CH"/>
                </w:rPr>
                <w:t>N</w:t>
              </w:r>
              <w:proofErr w:type="spellStart"/>
              <w:r w:rsidR="00557A68" w:rsidRPr="00EE01B4">
                <w:rPr>
                  <w:rStyle w:val="Hyperlink"/>
                  <w:sz w:val="20"/>
                  <w:szCs w:val="20"/>
                  <w:lang w:val="fr-FR"/>
                </w:rPr>
                <w:t>ote</w:t>
              </w:r>
              <w:proofErr w:type="spellEnd"/>
              <w:r w:rsidR="00557A68" w:rsidRPr="00EE01B4">
                <w:rPr>
                  <w:rStyle w:val="Hyperlink"/>
                  <w:sz w:val="20"/>
                  <w:szCs w:val="20"/>
                  <w:lang w:val="fr-FR"/>
                </w:rPr>
                <w:t xml:space="preserve"> d’orientation no 1 </w:t>
              </w:r>
              <w:r w:rsidR="00557A68" w:rsidRPr="00EE01B4">
                <w:rPr>
                  <w:rStyle w:val="Hyperlink"/>
                  <w:sz w:val="20"/>
                  <w:szCs w:val="20"/>
                  <w:lang w:val="fr-CH"/>
                </w:rPr>
                <w:t xml:space="preserve">: Les zones humides pour la réduction des risques de catastrophe: Des choix judicieux pour des communautés </w:t>
              </w:r>
              <w:proofErr w:type="gramStart"/>
              <w:r w:rsidR="00557A68" w:rsidRPr="00EE01B4">
                <w:rPr>
                  <w:rStyle w:val="Hyperlink"/>
                  <w:sz w:val="20"/>
                  <w:szCs w:val="20"/>
                  <w:lang w:val="fr-CH"/>
                </w:rPr>
                <w:t>résiliente</w:t>
              </w:r>
            </w:hyperlink>
            <w:r w:rsidR="00557A68" w:rsidRPr="00EE01B4">
              <w:rPr>
                <w:rStyle w:val="Hyperlink"/>
                <w:sz w:val="20"/>
                <w:szCs w:val="20"/>
                <w:lang w:val="fr-CH"/>
              </w:rPr>
              <w:t>s</w:t>
            </w:r>
            <w:proofErr w:type="gramEnd"/>
          </w:p>
        </w:tc>
        <w:tc>
          <w:tcPr>
            <w:tcW w:w="2164" w:type="dxa"/>
          </w:tcPr>
          <w:p w:rsidR="00557A68" w:rsidRPr="00EE01B4" w:rsidRDefault="00557A68" w:rsidP="007F2A42">
            <w:pPr>
              <w:rPr>
                <w:rFonts w:cs="Arial"/>
                <w:sz w:val="20"/>
                <w:szCs w:val="20"/>
                <w:lang w:val="fr-CH"/>
              </w:rPr>
            </w:pPr>
            <w:r w:rsidRPr="00EE01B4">
              <w:rPr>
                <w:rFonts w:cs="Arial"/>
                <w:sz w:val="20"/>
                <w:szCs w:val="20"/>
                <w:lang w:val="fr-CH"/>
              </w:rPr>
              <w:t>Technique</w:t>
            </w:r>
          </w:p>
        </w:tc>
        <w:tc>
          <w:tcPr>
            <w:tcW w:w="2614" w:type="dxa"/>
          </w:tcPr>
          <w:p w:rsidR="00557A68" w:rsidRPr="00EE01B4" w:rsidRDefault="00557A68" w:rsidP="007F2A42">
            <w:pPr>
              <w:rPr>
                <w:rFonts w:cs="Arial"/>
                <w:sz w:val="20"/>
                <w:szCs w:val="20"/>
                <w:lang w:val="fr-CH"/>
              </w:rPr>
            </w:pPr>
            <w:r w:rsidRPr="00EE01B4">
              <w:rPr>
                <w:rFonts w:cs="Arial"/>
                <w:sz w:val="20"/>
                <w:szCs w:val="20"/>
                <w:lang w:val="fr-CH"/>
              </w:rPr>
              <w:t>Décideurs</w:t>
            </w:r>
          </w:p>
        </w:tc>
        <w:tc>
          <w:tcPr>
            <w:tcW w:w="1256" w:type="dxa"/>
          </w:tcPr>
          <w:p w:rsidR="00557A68" w:rsidRPr="00EE01B4" w:rsidRDefault="00557A68" w:rsidP="007F2A42">
            <w:pPr>
              <w:rPr>
                <w:rFonts w:cs="Arial"/>
                <w:sz w:val="20"/>
                <w:szCs w:val="20"/>
                <w:lang w:val="fr-CH"/>
              </w:rPr>
            </w:pPr>
          </w:p>
        </w:tc>
        <w:tc>
          <w:tcPr>
            <w:tcW w:w="1288" w:type="dxa"/>
          </w:tcPr>
          <w:p w:rsidR="00557A68" w:rsidRPr="00EE01B4" w:rsidRDefault="00557A68" w:rsidP="007F2A42">
            <w:pPr>
              <w:rPr>
                <w:sz w:val="20"/>
                <w:szCs w:val="20"/>
                <w:lang w:val="fr-CH"/>
              </w:rPr>
            </w:pPr>
            <w:r w:rsidRPr="00EE01B4">
              <w:rPr>
                <w:sz w:val="20"/>
                <w:szCs w:val="20"/>
                <w:lang w:val="fr-CH"/>
              </w:rPr>
              <w:t>EFS</w:t>
            </w:r>
          </w:p>
        </w:tc>
        <w:tc>
          <w:tcPr>
            <w:tcW w:w="5259" w:type="dxa"/>
          </w:tcPr>
          <w:p w:rsidR="00557A68" w:rsidRPr="00EE01B4" w:rsidRDefault="00557A68" w:rsidP="007F2A42">
            <w:pPr>
              <w:rPr>
                <w:sz w:val="20"/>
                <w:szCs w:val="20"/>
                <w:lang w:val="fr-CH"/>
              </w:rPr>
            </w:pPr>
            <w:r w:rsidRPr="00EE01B4">
              <w:rPr>
                <w:sz w:val="20"/>
                <w:szCs w:val="20"/>
                <w:u w:val="single"/>
                <w:lang w:val="fr-CH"/>
              </w:rPr>
              <w:t>Résumé :</w:t>
            </w:r>
            <w:r w:rsidRPr="00EE01B4">
              <w:rPr>
                <w:sz w:val="20"/>
                <w:szCs w:val="20"/>
                <w:lang w:val="fr-CH"/>
              </w:rPr>
              <w:t> La n</w:t>
            </w:r>
            <w:proofErr w:type="spellStart"/>
            <w:r w:rsidRPr="00EE01B4">
              <w:rPr>
                <w:sz w:val="20"/>
                <w:szCs w:val="20"/>
                <w:lang w:val="fr-FR"/>
              </w:rPr>
              <w:t>ote</w:t>
            </w:r>
            <w:proofErr w:type="spellEnd"/>
            <w:r w:rsidRPr="00EE01B4">
              <w:rPr>
                <w:sz w:val="20"/>
                <w:szCs w:val="20"/>
                <w:lang w:val="fr-FR"/>
              </w:rPr>
              <w:t xml:space="preserve"> d’orientation souligne l'importance des zones </w:t>
            </w:r>
            <w:r w:rsidRPr="00EE01B4">
              <w:rPr>
                <w:sz w:val="20"/>
                <w:szCs w:val="20"/>
                <w:lang w:val="fr-CH"/>
              </w:rPr>
              <w:t>zones humides pour la réduction des risques de catastrophe et propose un projet de recommandations et de considérations politiques pour guider les décideurs afin qu’ils intègrent les zones humides dans leurs plans et stratégies nationaux de réduction des risques de catastrophes.</w:t>
            </w:r>
          </w:p>
        </w:tc>
      </w:tr>
      <w:tr w:rsidR="00557A68" w:rsidRPr="00EE01B4" w:rsidTr="0025591A">
        <w:tblPrEx>
          <w:tblBorders>
            <w:bottom w:val="single" w:sz="4" w:space="0" w:color="auto"/>
            <w:insideH w:val="single" w:sz="4" w:space="0" w:color="auto"/>
            <w:insideV w:val="single" w:sz="4" w:space="0" w:color="auto"/>
          </w:tblBorders>
        </w:tblPrEx>
        <w:tc>
          <w:tcPr>
            <w:tcW w:w="3033" w:type="dxa"/>
          </w:tcPr>
          <w:p w:rsidR="00557A68" w:rsidRPr="00EE01B4" w:rsidRDefault="00DF180B" w:rsidP="007F2A42">
            <w:pPr>
              <w:rPr>
                <w:sz w:val="20"/>
                <w:szCs w:val="20"/>
                <w:lang w:val="fr-CH"/>
              </w:rPr>
            </w:pPr>
            <w:hyperlink r:id="rId84" w:history="1">
              <w:r w:rsidR="00557A68" w:rsidRPr="00EE01B4">
                <w:rPr>
                  <w:rStyle w:val="Hyperlink"/>
                  <w:sz w:val="20"/>
                  <w:szCs w:val="20"/>
                  <w:lang w:val="fr-CH"/>
                </w:rPr>
                <w:t xml:space="preserve">Note d’orientation no 2 : Intégrer </w:t>
              </w:r>
              <w:r w:rsidR="00557A68" w:rsidRPr="00EE01B4">
                <w:rPr>
                  <w:rStyle w:val="Hyperlink"/>
                  <w:sz w:val="20"/>
                  <w:szCs w:val="20"/>
                  <w:lang w:val="fr-CH"/>
                </w:rPr>
                <w:lastRenderedPageBreak/>
                <w:t>les valeurs multiples des zones humides dans le processus décisionnel</w:t>
              </w:r>
            </w:hyperlink>
          </w:p>
        </w:tc>
        <w:tc>
          <w:tcPr>
            <w:tcW w:w="2164" w:type="dxa"/>
          </w:tcPr>
          <w:p w:rsidR="00557A68" w:rsidRPr="00EE01B4" w:rsidRDefault="00557A68" w:rsidP="007F2A42">
            <w:pPr>
              <w:rPr>
                <w:rFonts w:cs="Arial"/>
                <w:sz w:val="20"/>
                <w:szCs w:val="20"/>
                <w:lang w:val="fr-CH"/>
              </w:rPr>
            </w:pPr>
            <w:r w:rsidRPr="00EE01B4">
              <w:rPr>
                <w:rFonts w:cs="Arial"/>
                <w:sz w:val="20"/>
                <w:szCs w:val="20"/>
                <w:lang w:val="fr-CH"/>
              </w:rPr>
              <w:lastRenderedPageBreak/>
              <w:t>Technique</w:t>
            </w:r>
          </w:p>
        </w:tc>
        <w:tc>
          <w:tcPr>
            <w:tcW w:w="2614" w:type="dxa"/>
          </w:tcPr>
          <w:p w:rsidR="00557A68" w:rsidRPr="00EE01B4" w:rsidRDefault="00557A68" w:rsidP="007F2A42">
            <w:pPr>
              <w:rPr>
                <w:rFonts w:cs="Arial"/>
                <w:sz w:val="20"/>
                <w:szCs w:val="20"/>
                <w:lang w:val="fr-CH"/>
              </w:rPr>
            </w:pPr>
            <w:r w:rsidRPr="00EE01B4">
              <w:rPr>
                <w:rFonts w:cs="Arial"/>
                <w:sz w:val="20"/>
                <w:szCs w:val="20"/>
                <w:lang w:val="fr-CH"/>
              </w:rPr>
              <w:t xml:space="preserve">Décideurs </w:t>
            </w:r>
          </w:p>
        </w:tc>
        <w:tc>
          <w:tcPr>
            <w:tcW w:w="1256" w:type="dxa"/>
          </w:tcPr>
          <w:p w:rsidR="00557A68" w:rsidRPr="00EE01B4" w:rsidRDefault="00557A68" w:rsidP="007F2A42">
            <w:pPr>
              <w:rPr>
                <w:rFonts w:cs="Arial"/>
                <w:sz w:val="20"/>
                <w:szCs w:val="20"/>
                <w:lang w:val="fr-CH"/>
              </w:rPr>
            </w:pPr>
          </w:p>
        </w:tc>
        <w:tc>
          <w:tcPr>
            <w:tcW w:w="1288" w:type="dxa"/>
          </w:tcPr>
          <w:p w:rsidR="00557A68" w:rsidRPr="00EE01B4" w:rsidRDefault="00557A68" w:rsidP="007F2A42">
            <w:pPr>
              <w:rPr>
                <w:sz w:val="20"/>
                <w:szCs w:val="20"/>
                <w:lang w:val="fr-CH"/>
              </w:rPr>
            </w:pPr>
            <w:r w:rsidRPr="00EE01B4">
              <w:rPr>
                <w:sz w:val="20"/>
                <w:szCs w:val="20"/>
                <w:lang w:val="fr-CH"/>
              </w:rPr>
              <w:t>EFS</w:t>
            </w:r>
          </w:p>
        </w:tc>
        <w:tc>
          <w:tcPr>
            <w:tcW w:w="5259" w:type="dxa"/>
          </w:tcPr>
          <w:p w:rsidR="00557A68" w:rsidRPr="00EE01B4" w:rsidRDefault="00557A68" w:rsidP="007F2A42">
            <w:pPr>
              <w:rPr>
                <w:sz w:val="20"/>
                <w:szCs w:val="20"/>
                <w:lang w:val="fr-CH"/>
              </w:rPr>
            </w:pPr>
            <w:r w:rsidRPr="00EE01B4">
              <w:rPr>
                <w:sz w:val="20"/>
                <w:szCs w:val="20"/>
                <w:u w:val="single"/>
                <w:lang w:val="fr-CH"/>
              </w:rPr>
              <w:t xml:space="preserve">Résumé </w:t>
            </w:r>
            <w:r w:rsidRPr="00EE01B4">
              <w:rPr>
                <w:sz w:val="20"/>
                <w:szCs w:val="20"/>
                <w:lang w:val="fr-CH"/>
              </w:rPr>
              <w:t xml:space="preserve">: « La note d’orientation vise </w:t>
            </w:r>
            <w:proofErr w:type="spellStart"/>
            <w:r w:rsidRPr="00EE01B4">
              <w:rPr>
                <w:sz w:val="20"/>
                <w:szCs w:val="20"/>
                <w:lang w:val="fr-CH"/>
              </w:rPr>
              <w:t>a</w:t>
            </w:r>
            <w:proofErr w:type="spellEnd"/>
            <w:r w:rsidRPr="00EE01B4">
              <w:rPr>
                <w:sz w:val="20"/>
                <w:szCs w:val="20"/>
                <w:lang w:val="fr-CH"/>
              </w:rPr>
              <w:t xml:space="preserve">̀ aider les décideurs </w:t>
            </w:r>
            <w:r w:rsidRPr="00EE01B4">
              <w:rPr>
                <w:sz w:val="20"/>
                <w:szCs w:val="20"/>
                <w:lang w:val="fr-CH"/>
              </w:rPr>
              <w:lastRenderedPageBreak/>
              <w:t>politiques à étayer et faciliter l’intégration des valeurs multiples des zones humides à l’échelle des différents secteurs, avec l’appui d’études d’évaluation améliorées, pour renforcer la pertinence et l’impact des politiques. »</w:t>
            </w:r>
          </w:p>
        </w:tc>
      </w:tr>
      <w:tr w:rsidR="00557A68" w:rsidRPr="00EE01B4" w:rsidTr="009D62D8">
        <w:tblPrEx>
          <w:tblBorders>
            <w:bottom w:val="single" w:sz="4" w:space="0" w:color="auto"/>
            <w:insideH w:val="single" w:sz="4" w:space="0" w:color="auto"/>
            <w:insideV w:val="single" w:sz="4" w:space="0" w:color="auto"/>
          </w:tblBorders>
        </w:tblPrEx>
        <w:tc>
          <w:tcPr>
            <w:tcW w:w="15614" w:type="dxa"/>
            <w:gridSpan w:val="6"/>
            <w:shd w:val="clear" w:color="auto" w:fill="FBD4B4" w:themeFill="accent6" w:themeFillTint="66"/>
          </w:tcPr>
          <w:p w:rsidR="00557A68" w:rsidRPr="00EE01B4" w:rsidRDefault="00557A68" w:rsidP="00B5352E">
            <w:pPr>
              <w:spacing w:after="40"/>
              <w:rPr>
                <w:sz w:val="20"/>
                <w:szCs w:val="20"/>
                <w:lang w:val="fr-FR"/>
              </w:rPr>
            </w:pPr>
            <w:r w:rsidRPr="00EE01B4">
              <w:rPr>
                <w:rFonts w:cs="Arial"/>
                <w:b/>
                <w:sz w:val="20"/>
                <w:szCs w:val="20"/>
                <w:lang w:val="fr-CH"/>
              </w:rPr>
              <w:lastRenderedPageBreak/>
              <w:t>Jusqu’en 2015</w:t>
            </w:r>
          </w:p>
        </w:tc>
      </w:tr>
      <w:tr w:rsidR="00557A68" w:rsidRPr="00EE01B4" w:rsidTr="0025591A">
        <w:tblPrEx>
          <w:tblBorders>
            <w:bottom w:val="single" w:sz="4" w:space="0" w:color="auto"/>
            <w:insideH w:val="single" w:sz="4" w:space="0" w:color="auto"/>
            <w:insideV w:val="single" w:sz="4" w:space="0" w:color="auto"/>
          </w:tblBorders>
        </w:tblPrEx>
        <w:tc>
          <w:tcPr>
            <w:tcW w:w="3033" w:type="dxa"/>
          </w:tcPr>
          <w:p w:rsidR="00557A68" w:rsidRPr="00EE01B4" w:rsidRDefault="00DF180B" w:rsidP="005E644F">
            <w:pPr>
              <w:rPr>
                <w:rFonts w:cs="Arial"/>
                <w:sz w:val="20"/>
                <w:szCs w:val="20"/>
                <w:lang w:val="fr-FR"/>
              </w:rPr>
            </w:pPr>
            <w:hyperlink r:id="rId85" w:history="1">
              <w:r w:rsidR="00557A68" w:rsidRPr="00EE01B4">
                <w:rPr>
                  <w:rStyle w:val="Hyperlink"/>
                  <w:sz w:val="20"/>
                  <w:szCs w:val="20"/>
                  <w:lang w:val="fr-FR"/>
                </w:rPr>
                <w:t>Résolution XI.13 : Cadre intégré pour lier la conservation et l’utilisation rationnelle des zones humides à l’éradication de la pauvreté</w:t>
              </w:r>
            </w:hyperlink>
          </w:p>
        </w:tc>
        <w:tc>
          <w:tcPr>
            <w:tcW w:w="2164" w:type="dxa"/>
          </w:tcPr>
          <w:p w:rsidR="00557A68" w:rsidRPr="00EE01B4" w:rsidRDefault="00557A68" w:rsidP="00B5352E">
            <w:pPr>
              <w:rPr>
                <w:rFonts w:cs="Arial"/>
                <w:sz w:val="20"/>
                <w:szCs w:val="20"/>
                <w:lang w:val="fr-FR"/>
              </w:rPr>
            </w:pPr>
            <w:r w:rsidRPr="00EE01B4">
              <w:rPr>
                <w:rFonts w:cs="Arial"/>
                <w:sz w:val="20"/>
                <w:szCs w:val="20"/>
                <w:lang w:val="fr-FR"/>
              </w:rPr>
              <w:t>Technique</w:t>
            </w:r>
          </w:p>
        </w:tc>
        <w:tc>
          <w:tcPr>
            <w:tcW w:w="2614" w:type="dxa"/>
          </w:tcPr>
          <w:p w:rsidR="00557A68" w:rsidRPr="00EE01B4" w:rsidRDefault="00557A68" w:rsidP="00B5352E">
            <w:pPr>
              <w:rPr>
                <w:rFonts w:cs="Arial"/>
                <w:sz w:val="20"/>
                <w:szCs w:val="20"/>
                <w:lang w:val="fr-FR"/>
              </w:rPr>
            </w:pPr>
            <w:r w:rsidRPr="00EE01B4">
              <w:rPr>
                <w:rFonts w:cs="Arial"/>
                <w:sz w:val="20"/>
                <w:szCs w:val="20"/>
                <w:lang w:val="fr-FR"/>
              </w:rPr>
              <w:t xml:space="preserve">Décideurs </w:t>
            </w:r>
          </w:p>
        </w:tc>
        <w:tc>
          <w:tcPr>
            <w:tcW w:w="1256" w:type="dxa"/>
          </w:tcPr>
          <w:p w:rsidR="00557A68" w:rsidRPr="00EE01B4" w:rsidRDefault="00557A68" w:rsidP="008E750B">
            <w:pPr>
              <w:rPr>
                <w:rFonts w:cs="Arial"/>
                <w:sz w:val="20"/>
                <w:szCs w:val="20"/>
                <w:lang w:val="fr-FR"/>
              </w:rPr>
            </w:pPr>
            <w:r w:rsidRPr="00EE01B4">
              <w:rPr>
                <w:sz w:val="20"/>
                <w:szCs w:val="20"/>
                <w:lang w:val="fr-FR"/>
              </w:rPr>
              <w:t>Pas encore inclus dans un Manuel</w:t>
            </w:r>
          </w:p>
        </w:tc>
        <w:tc>
          <w:tcPr>
            <w:tcW w:w="1288" w:type="dxa"/>
          </w:tcPr>
          <w:p w:rsidR="00557A68" w:rsidRPr="00EE01B4" w:rsidRDefault="00557A68" w:rsidP="00B5352E">
            <w:pPr>
              <w:rPr>
                <w:rFonts w:cs="Arial"/>
                <w:sz w:val="20"/>
                <w:szCs w:val="20"/>
                <w:lang w:val="fr-FR"/>
              </w:rPr>
            </w:pPr>
            <w:r w:rsidRPr="00EE01B4">
              <w:rPr>
                <w:sz w:val="20"/>
                <w:szCs w:val="20"/>
                <w:lang w:val="fr-FR"/>
              </w:rPr>
              <w:t>EFS</w:t>
            </w:r>
          </w:p>
        </w:tc>
        <w:tc>
          <w:tcPr>
            <w:tcW w:w="5259" w:type="dxa"/>
          </w:tcPr>
          <w:p w:rsidR="00557A68" w:rsidRPr="00EE01B4" w:rsidRDefault="00557A68" w:rsidP="00B5352E">
            <w:pPr>
              <w:spacing w:after="40"/>
              <w:rPr>
                <w:sz w:val="20"/>
                <w:szCs w:val="20"/>
                <w:lang w:val="fr-FR"/>
              </w:rPr>
            </w:pPr>
          </w:p>
        </w:tc>
      </w:tr>
      <w:tr w:rsidR="00557A68" w:rsidRPr="00EE01B4" w:rsidTr="0025591A">
        <w:tblPrEx>
          <w:tblBorders>
            <w:bottom w:val="single" w:sz="4" w:space="0" w:color="auto"/>
            <w:insideH w:val="single" w:sz="4" w:space="0" w:color="auto"/>
            <w:insideV w:val="single" w:sz="4" w:space="0" w:color="auto"/>
          </w:tblBorders>
        </w:tblPrEx>
        <w:tc>
          <w:tcPr>
            <w:tcW w:w="3033" w:type="dxa"/>
          </w:tcPr>
          <w:p w:rsidR="00557A68" w:rsidRPr="00EE01B4" w:rsidRDefault="00DF180B" w:rsidP="005E644F">
            <w:pPr>
              <w:rPr>
                <w:rFonts w:cs="Arial"/>
                <w:sz w:val="20"/>
                <w:szCs w:val="20"/>
                <w:lang w:val="fr-FR"/>
              </w:rPr>
            </w:pPr>
            <w:hyperlink r:id="rId86" w:history="1">
              <w:r w:rsidR="00557A68" w:rsidRPr="00EE01B4">
                <w:rPr>
                  <w:rStyle w:val="Hyperlink"/>
                  <w:sz w:val="20"/>
                  <w:szCs w:val="20"/>
                  <w:lang w:val="fr-FR"/>
                </w:rPr>
                <w:t xml:space="preserve">Résolution VIII.19 : Principes directeurs pour la prise en compte des valeurs culturelles des zones humides dans la gestion efficace des sites  </w:t>
              </w:r>
            </w:hyperlink>
            <w:r w:rsidR="00557A68" w:rsidRPr="00EE01B4">
              <w:rPr>
                <w:rStyle w:val="Hyperlink"/>
                <w:sz w:val="20"/>
                <w:szCs w:val="20"/>
                <w:lang w:val="fr-FR"/>
              </w:rPr>
              <w:t xml:space="preserve"> </w:t>
            </w:r>
          </w:p>
        </w:tc>
        <w:tc>
          <w:tcPr>
            <w:tcW w:w="2164" w:type="dxa"/>
          </w:tcPr>
          <w:p w:rsidR="00557A68" w:rsidRPr="00EE01B4" w:rsidRDefault="00557A68" w:rsidP="00B5352E">
            <w:pPr>
              <w:rPr>
                <w:rFonts w:cs="Arial"/>
                <w:sz w:val="20"/>
                <w:szCs w:val="20"/>
                <w:lang w:val="fr-FR"/>
              </w:rPr>
            </w:pPr>
            <w:r w:rsidRPr="00EE01B4">
              <w:rPr>
                <w:rFonts w:cs="Arial"/>
                <w:sz w:val="20"/>
                <w:szCs w:val="20"/>
                <w:lang w:val="fr-FR"/>
              </w:rPr>
              <w:t>Technique</w:t>
            </w:r>
          </w:p>
        </w:tc>
        <w:tc>
          <w:tcPr>
            <w:tcW w:w="2614" w:type="dxa"/>
          </w:tcPr>
          <w:p w:rsidR="00557A68" w:rsidRPr="00EE01B4" w:rsidRDefault="00557A68" w:rsidP="00B5352E">
            <w:pPr>
              <w:rPr>
                <w:rFonts w:cs="Arial"/>
                <w:sz w:val="20"/>
                <w:szCs w:val="20"/>
                <w:lang w:val="fr-FR"/>
              </w:rPr>
            </w:pPr>
            <w:r w:rsidRPr="00EE01B4">
              <w:rPr>
                <w:rFonts w:cs="Arial"/>
                <w:sz w:val="20"/>
                <w:szCs w:val="20"/>
                <w:lang w:val="fr-FR"/>
              </w:rPr>
              <w:t>Praticiens</w:t>
            </w:r>
          </w:p>
        </w:tc>
        <w:tc>
          <w:tcPr>
            <w:tcW w:w="1256" w:type="dxa"/>
          </w:tcPr>
          <w:p w:rsidR="00557A68" w:rsidRPr="00EE01B4" w:rsidRDefault="00557A68" w:rsidP="00B5352E">
            <w:pPr>
              <w:rPr>
                <w:rFonts w:cs="Arial"/>
                <w:sz w:val="20"/>
                <w:szCs w:val="20"/>
                <w:lang w:val="fr-FR"/>
              </w:rPr>
            </w:pPr>
            <w:r w:rsidRPr="00EE01B4">
              <w:rPr>
                <w:rFonts w:cs="Arial"/>
                <w:sz w:val="20"/>
                <w:szCs w:val="20"/>
                <w:lang w:val="fr-FR"/>
              </w:rPr>
              <w:t>18</w:t>
            </w:r>
          </w:p>
        </w:tc>
        <w:tc>
          <w:tcPr>
            <w:tcW w:w="1288" w:type="dxa"/>
          </w:tcPr>
          <w:p w:rsidR="00557A68" w:rsidRPr="00EE01B4" w:rsidRDefault="00557A68" w:rsidP="00B5352E">
            <w:pPr>
              <w:rPr>
                <w:rFonts w:cs="Arial"/>
                <w:sz w:val="20"/>
                <w:szCs w:val="20"/>
                <w:lang w:val="fr-FR"/>
              </w:rPr>
            </w:pPr>
            <w:r w:rsidRPr="00EE01B4">
              <w:rPr>
                <w:sz w:val="20"/>
                <w:szCs w:val="20"/>
                <w:lang w:val="fr-FR"/>
              </w:rPr>
              <w:t>EFS</w:t>
            </w:r>
          </w:p>
        </w:tc>
        <w:tc>
          <w:tcPr>
            <w:tcW w:w="5259" w:type="dxa"/>
          </w:tcPr>
          <w:p w:rsidR="00557A68" w:rsidRPr="00EE01B4" w:rsidRDefault="00557A68" w:rsidP="00B5352E">
            <w:pPr>
              <w:spacing w:after="40"/>
              <w:rPr>
                <w:sz w:val="20"/>
                <w:szCs w:val="20"/>
                <w:lang w:val="fr-FR"/>
              </w:rPr>
            </w:pPr>
          </w:p>
        </w:tc>
      </w:tr>
      <w:tr w:rsidR="00557A68" w:rsidRPr="00EE01B4" w:rsidTr="0025591A">
        <w:tblPrEx>
          <w:tblBorders>
            <w:bottom w:val="single" w:sz="4" w:space="0" w:color="auto"/>
            <w:insideH w:val="single" w:sz="4" w:space="0" w:color="auto"/>
            <w:insideV w:val="single" w:sz="4" w:space="0" w:color="auto"/>
          </w:tblBorders>
        </w:tblPrEx>
        <w:tc>
          <w:tcPr>
            <w:tcW w:w="3033" w:type="dxa"/>
          </w:tcPr>
          <w:p w:rsidR="00557A68" w:rsidRPr="00EE01B4" w:rsidRDefault="00DF180B" w:rsidP="00952D0B">
            <w:pPr>
              <w:spacing w:after="40"/>
              <w:rPr>
                <w:sz w:val="20"/>
                <w:szCs w:val="20"/>
                <w:lang w:val="fr-FR"/>
              </w:rPr>
            </w:pPr>
            <w:hyperlink r:id="rId87" w:history="1">
              <w:r w:rsidR="00557A68" w:rsidRPr="00EE01B4">
                <w:rPr>
                  <w:rStyle w:val="Hyperlink"/>
                  <w:sz w:val="20"/>
                  <w:szCs w:val="20"/>
                  <w:lang w:val="fr-FR"/>
                </w:rPr>
                <w:t>Rapport technique Ramsar n</w:t>
              </w:r>
              <w:r w:rsidR="00557A68" w:rsidRPr="00EE01B4">
                <w:rPr>
                  <w:rStyle w:val="Hyperlink"/>
                  <w:sz w:val="20"/>
                  <w:szCs w:val="20"/>
                  <w:vertAlign w:val="superscript"/>
                  <w:lang w:val="fr-FR"/>
                </w:rPr>
                <w:t>o </w:t>
              </w:r>
              <w:r w:rsidR="00557A68" w:rsidRPr="00EE01B4">
                <w:rPr>
                  <w:rStyle w:val="Hyperlink"/>
                  <w:sz w:val="20"/>
                  <w:szCs w:val="20"/>
                  <w:lang w:val="fr-FR"/>
                </w:rPr>
                <w:t xml:space="preserve">3 : Évaluation des zones humides : Orientations sur l'estimation des avantages issus des services écosystémiques des zones humides </w:t>
              </w:r>
            </w:hyperlink>
            <w:r w:rsidR="00557A68" w:rsidRPr="00EE01B4">
              <w:rPr>
                <w:sz w:val="20"/>
                <w:szCs w:val="20"/>
                <w:lang w:val="fr-FR"/>
              </w:rPr>
              <w:t xml:space="preserve"> </w:t>
            </w:r>
          </w:p>
        </w:tc>
        <w:tc>
          <w:tcPr>
            <w:tcW w:w="2164" w:type="dxa"/>
          </w:tcPr>
          <w:p w:rsidR="00557A68" w:rsidRPr="00EE01B4" w:rsidRDefault="00557A68" w:rsidP="00B5352E">
            <w:pPr>
              <w:rPr>
                <w:rFonts w:cs="Arial"/>
                <w:sz w:val="20"/>
                <w:szCs w:val="20"/>
                <w:lang w:val="fr-FR"/>
              </w:rPr>
            </w:pPr>
            <w:r w:rsidRPr="00EE01B4">
              <w:rPr>
                <w:rFonts w:cs="Arial"/>
                <w:sz w:val="20"/>
                <w:szCs w:val="20"/>
                <w:lang w:val="fr-FR"/>
              </w:rPr>
              <w:t>Scientifique/ Technique</w:t>
            </w:r>
          </w:p>
        </w:tc>
        <w:tc>
          <w:tcPr>
            <w:tcW w:w="2614" w:type="dxa"/>
          </w:tcPr>
          <w:p w:rsidR="00557A68" w:rsidRPr="00EE01B4" w:rsidRDefault="00557A68" w:rsidP="00813EA9">
            <w:pPr>
              <w:rPr>
                <w:rFonts w:cs="Arial"/>
                <w:sz w:val="20"/>
                <w:szCs w:val="20"/>
                <w:lang w:val="fr-FR"/>
              </w:rPr>
            </w:pPr>
            <w:r w:rsidRPr="00EE01B4">
              <w:rPr>
                <w:rFonts w:cs="Arial"/>
                <w:sz w:val="20"/>
                <w:szCs w:val="20"/>
                <w:lang w:val="fr-FR"/>
              </w:rPr>
              <w:t>Scientifiques, praticiens</w:t>
            </w:r>
          </w:p>
        </w:tc>
        <w:tc>
          <w:tcPr>
            <w:tcW w:w="1256" w:type="dxa"/>
          </w:tcPr>
          <w:p w:rsidR="00557A68" w:rsidRPr="00EE01B4" w:rsidRDefault="00557A68" w:rsidP="00B5352E">
            <w:pPr>
              <w:rPr>
                <w:rFonts w:cs="Arial"/>
                <w:sz w:val="20"/>
                <w:szCs w:val="20"/>
                <w:lang w:val="fr-FR"/>
              </w:rPr>
            </w:pPr>
          </w:p>
        </w:tc>
        <w:tc>
          <w:tcPr>
            <w:tcW w:w="1288" w:type="dxa"/>
          </w:tcPr>
          <w:p w:rsidR="00557A68" w:rsidRPr="00EE01B4" w:rsidRDefault="00557A68" w:rsidP="00B5352E">
            <w:pPr>
              <w:spacing w:after="40"/>
              <w:rPr>
                <w:sz w:val="20"/>
                <w:szCs w:val="20"/>
                <w:lang w:val="fr-FR"/>
              </w:rPr>
            </w:pPr>
            <w:r w:rsidRPr="00EE01B4">
              <w:rPr>
                <w:sz w:val="20"/>
                <w:szCs w:val="20"/>
                <w:lang w:val="fr-FR"/>
              </w:rPr>
              <w:t>EFS</w:t>
            </w:r>
          </w:p>
        </w:tc>
        <w:tc>
          <w:tcPr>
            <w:tcW w:w="5259" w:type="dxa"/>
          </w:tcPr>
          <w:p w:rsidR="00557A68" w:rsidRPr="00EE01B4" w:rsidRDefault="00557A68" w:rsidP="000D3326">
            <w:pPr>
              <w:spacing w:after="40"/>
              <w:rPr>
                <w:sz w:val="20"/>
                <w:szCs w:val="20"/>
                <w:lang w:val="fr-FR"/>
              </w:rPr>
            </w:pPr>
            <w:r w:rsidRPr="00EE01B4">
              <w:rPr>
                <w:rFonts w:cs="Arial"/>
                <w:sz w:val="20"/>
                <w:szCs w:val="20"/>
                <w:u w:val="single"/>
                <w:lang w:val="fr-FR"/>
              </w:rPr>
              <w:t>Résumé</w:t>
            </w:r>
            <w:r w:rsidRPr="00EE01B4">
              <w:rPr>
                <w:rFonts w:cs="Arial"/>
                <w:sz w:val="20"/>
                <w:szCs w:val="20"/>
                <w:lang w:val="fr-FR"/>
              </w:rPr>
              <w:t xml:space="preserve"> : Ce rapport décrit un cadre qui devrait aider le lecteur à conduire une évaluation intégrée des services écosystémiques des zones humides et il établit cinq étapes clés pour entreprendre une évaluation des zones humides… Ces orientations sont complétées par des études de cas du monde entier dans le cadre desquelles différents aspects de la valorisation des zones humides ont soutenu la prise de décisions et par d’autres sources d’information sur la valorisation des zones humides.  </w:t>
            </w:r>
          </w:p>
        </w:tc>
      </w:tr>
      <w:tr w:rsidR="00557A68" w:rsidRPr="00EE01B4" w:rsidTr="0025591A">
        <w:tblPrEx>
          <w:tblBorders>
            <w:bottom w:val="single" w:sz="4" w:space="0" w:color="auto"/>
            <w:insideH w:val="single" w:sz="4" w:space="0" w:color="auto"/>
            <w:insideV w:val="single" w:sz="4" w:space="0" w:color="auto"/>
          </w:tblBorders>
        </w:tblPrEx>
        <w:tc>
          <w:tcPr>
            <w:tcW w:w="3033" w:type="dxa"/>
          </w:tcPr>
          <w:p w:rsidR="00557A68" w:rsidRPr="00EE01B4" w:rsidRDefault="00DF180B" w:rsidP="007C0220">
            <w:pPr>
              <w:spacing w:after="40"/>
              <w:rPr>
                <w:sz w:val="20"/>
                <w:szCs w:val="20"/>
                <w:lang w:val="en-GB"/>
              </w:rPr>
            </w:pPr>
            <w:hyperlink r:id="rId88" w:history="1">
              <w:r w:rsidR="00557A68" w:rsidRPr="00EE01B4">
                <w:rPr>
                  <w:rStyle w:val="Hyperlink"/>
                  <w:sz w:val="20"/>
                  <w:szCs w:val="20"/>
                  <w:lang w:val="en-GB"/>
                </w:rPr>
                <w:t>Rapport technique Ramsar n</w:t>
              </w:r>
              <w:r w:rsidR="00557A68" w:rsidRPr="00EE01B4">
                <w:rPr>
                  <w:rStyle w:val="Hyperlink"/>
                  <w:sz w:val="20"/>
                  <w:szCs w:val="20"/>
                  <w:vertAlign w:val="superscript"/>
                  <w:lang w:val="en-GB"/>
                </w:rPr>
                <w:t>o</w:t>
              </w:r>
              <w:r w:rsidR="00557A68" w:rsidRPr="00EE01B4">
                <w:rPr>
                  <w:rStyle w:val="Hyperlink"/>
                  <w:sz w:val="20"/>
                  <w:szCs w:val="20"/>
                  <w:lang w:val="en-GB"/>
                </w:rPr>
                <w:t> 6: Healthy wetlands, healthy people: A review of wetlands and human health interactions</w:t>
              </w:r>
            </w:hyperlink>
          </w:p>
        </w:tc>
        <w:tc>
          <w:tcPr>
            <w:tcW w:w="2164" w:type="dxa"/>
          </w:tcPr>
          <w:p w:rsidR="00557A68" w:rsidRPr="00EE01B4" w:rsidRDefault="00557A68" w:rsidP="00B5352E">
            <w:pPr>
              <w:rPr>
                <w:rFonts w:cs="Arial"/>
                <w:sz w:val="20"/>
                <w:szCs w:val="20"/>
                <w:lang w:val="fr-FR"/>
              </w:rPr>
            </w:pPr>
            <w:r w:rsidRPr="00EE01B4">
              <w:rPr>
                <w:rFonts w:cs="Arial"/>
                <w:sz w:val="20"/>
                <w:szCs w:val="20"/>
                <w:lang w:val="fr-FR"/>
              </w:rPr>
              <w:t>Scientifique/ Technique</w:t>
            </w:r>
          </w:p>
        </w:tc>
        <w:tc>
          <w:tcPr>
            <w:tcW w:w="2614" w:type="dxa"/>
          </w:tcPr>
          <w:p w:rsidR="00557A68" w:rsidRPr="00EE01B4" w:rsidRDefault="00557A68" w:rsidP="00B5352E">
            <w:pPr>
              <w:rPr>
                <w:rFonts w:cs="Arial"/>
                <w:sz w:val="20"/>
                <w:szCs w:val="20"/>
                <w:lang w:val="fr-FR"/>
              </w:rPr>
            </w:pPr>
            <w:r w:rsidRPr="00EE01B4">
              <w:rPr>
                <w:rFonts w:cs="Arial"/>
                <w:sz w:val="20"/>
                <w:szCs w:val="20"/>
                <w:lang w:val="fr-FR"/>
              </w:rPr>
              <w:t>Scientifiques, praticiens</w:t>
            </w:r>
          </w:p>
        </w:tc>
        <w:tc>
          <w:tcPr>
            <w:tcW w:w="1256" w:type="dxa"/>
          </w:tcPr>
          <w:p w:rsidR="00557A68" w:rsidRPr="00EE01B4" w:rsidRDefault="00557A68" w:rsidP="00B5352E">
            <w:pPr>
              <w:rPr>
                <w:rFonts w:cs="Arial"/>
                <w:sz w:val="20"/>
                <w:szCs w:val="20"/>
                <w:lang w:val="fr-FR"/>
              </w:rPr>
            </w:pPr>
          </w:p>
        </w:tc>
        <w:tc>
          <w:tcPr>
            <w:tcW w:w="1288" w:type="dxa"/>
          </w:tcPr>
          <w:p w:rsidR="00557A68" w:rsidRPr="00EE01B4" w:rsidRDefault="00557A68" w:rsidP="00B5352E">
            <w:pPr>
              <w:spacing w:after="40"/>
              <w:rPr>
                <w:sz w:val="20"/>
                <w:szCs w:val="20"/>
                <w:lang w:val="fr-FR"/>
              </w:rPr>
            </w:pPr>
            <w:r w:rsidRPr="00EE01B4">
              <w:rPr>
                <w:sz w:val="20"/>
                <w:szCs w:val="20"/>
                <w:lang w:val="fr-FR"/>
              </w:rPr>
              <w:t>E</w:t>
            </w:r>
          </w:p>
        </w:tc>
        <w:tc>
          <w:tcPr>
            <w:tcW w:w="5259" w:type="dxa"/>
          </w:tcPr>
          <w:p w:rsidR="00557A68" w:rsidRPr="00EE01B4" w:rsidRDefault="00557A68" w:rsidP="000D3326">
            <w:pPr>
              <w:spacing w:after="40"/>
              <w:rPr>
                <w:sz w:val="20"/>
                <w:szCs w:val="20"/>
                <w:lang w:val="fr-FR"/>
              </w:rPr>
            </w:pPr>
            <w:r w:rsidRPr="00EE01B4">
              <w:rPr>
                <w:rFonts w:cs="Arial"/>
                <w:sz w:val="20"/>
                <w:szCs w:val="20"/>
                <w:u w:val="single"/>
                <w:lang w:val="fr-FR"/>
              </w:rPr>
              <w:t>Résumé</w:t>
            </w:r>
            <w:r w:rsidRPr="00EE01B4">
              <w:rPr>
                <w:rFonts w:cs="Arial"/>
                <w:sz w:val="20"/>
                <w:szCs w:val="20"/>
                <w:lang w:val="fr-FR"/>
              </w:rPr>
              <w:t> : Le but de ce rapport est de fournir une source d’information accessible pour aider à améliorer la compréhension des relations souvent complexes entre les écosystèmes des zones humides et la santé et le bien</w:t>
            </w:r>
            <w:r w:rsidRPr="00EE01B4">
              <w:rPr>
                <w:rFonts w:cs="Arial"/>
                <w:sz w:val="20"/>
                <w:szCs w:val="20"/>
                <w:lang w:val="fr-FR"/>
              </w:rPr>
              <w:noBreakHyphen/>
              <w:t xml:space="preserve">être humain. Ce rapport s’adresse en priorité aux praticiens de l’utilisation rationnelle et de la conservation des zones humides, aux administrateurs au niveau des sites et aux décideurs aux niveaux national et international. L’information contenue dans le rapport devrait aider à faciliter le dialogue entre les professionnels des zones humides et de la santé dans leurs efforts respectifs de maintien et d’amélioration des caractéristiques écologiques des zones humides et de la santé de la population. </w:t>
            </w:r>
          </w:p>
        </w:tc>
      </w:tr>
      <w:tr w:rsidR="00557A68" w:rsidRPr="00EE01B4" w:rsidTr="0025591A">
        <w:tblPrEx>
          <w:tblBorders>
            <w:bottom w:val="single" w:sz="4" w:space="0" w:color="auto"/>
            <w:insideH w:val="single" w:sz="4" w:space="0" w:color="auto"/>
            <w:insideV w:val="single" w:sz="4" w:space="0" w:color="auto"/>
          </w:tblBorders>
        </w:tblPrEx>
        <w:tc>
          <w:tcPr>
            <w:tcW w:w="3033" w:type="dxa"/>
          </w:tcPr>
          <w:p w:rsidR="00557A68" w:rsidRPr="00EE01B4" w:rsidRDefault="00DF180B" w:rsidP="00C03884">
            <w:pPr>
              <w:rPr>
                <w:rStyle w:val="Hyperlink"/>
                <w:sz w:val="20"/>
                <w:szCs w:val="20"/>
              </w:rPr>
            </w:pPr>
            <w:hyperlink r:id="rId89" w:history="1">
              <w:r w:rsidR="00557A68" w:rsidRPr="00EE01B4">
                <w:rPr>
                  <w:rStyle w:val="Hyperlink"/>
                  <w:sz w:val="20"/>
                  <w:szCs w:val="20"/>
                  <w:lang w:val="fr-FR"/>
                </w:rPr>
                <w:t>Culture et zones humides: un document d’orientation Ramsar</w:t>
              </w:r>
            </w:hyperlink>
            <w:r w:rsidR="00557A68" w:rsidRPr="00EE01B4">
              <w:rPr>
                <w:sz w:val="20"/>
                <w:szCs w:val="20"/>
                <w:lang w:val="fr-FR"/>
              </w:rPr>
              <w:t xml:space="preserve">. </w:t>
            </w:r>
          </w:p>
          <w:p w:rsidR="00557A68" w:rsidRPr="00EE01B4" w:rsidRDefault="00DF180B" w:rsidP="00C03884">
            <w:pPr>
              <w:rPr>
                <w:sz w:val="20"/>
                <w:szCs w:val="20"/>
                <w:lang w:val="fr-FR"/>
              </w:rPr>
            </w:pPr>
            <w:hyperlink r:id="rId90" w:history="1">
              <w:r w:rsidR="00557A68" w:rsidRPr="00EE01B4">
                <w:rPr>
                  <w:rStyle w:val="Hyperlink"/>
                  <w:sz w:val="20"/>
                  <w:szCs w:val="20"/>
                  <w:lang w:val="fr-FR"/>
                </w:rPr>
                <w:t>Résolution VIII.19. Principes directeurs pour la prise en compte des valeurs culturelles des zones humides dans la gestion efficace des sites</w:t>
              </w:r>
            </w:hyperlink>
            <w:r w:rsidR="00557A68" w:rsidRPr="00EE01B4">
              <w:rPr>
                <w:sz w:val="20"/>
                <w:szCs w:val="20"/>
                <w:lang w:val="fr-FR"/>
              </w:rPr>
              <w:t xml:space="preserve">. </w:t>
            </w:r>
          </w:p>
          <w:p w:rsidR="00557A68" w:rsidRPr="00EE01B4" w:rsidRDefault="00DF180B" w:rsidP="00C03884">
            <w:pPr>
              <w:rPr>
                <w:rFonts w:cs="Arial"/>
                <w:sz w:val="20"/>
                <w:szCs w:val="20"/>
                <w:lang w:val="fr-FR"/>
              </w:rPr>
            </w:pPr>
            <w:hyperlink r:id="rId91" w:history="1">
              <w:r w:rsidR="00557A68" w:rsidRPr="00EE01B4">
                <w:rPr>
                  <w:rStyle w:val="Hyperlink"/>
                  <w:sz w:val="20"/>
                  <w:szCs w:val="20"/>
                  <w:lang w:val="fr-FR"/>
                </w:rPr>
                <w:t xml:space="preserve">Résolution IX.21 Tenir compte des valeurs culturelles des zones humides </w:t>
              </w:r>
            </w:hyperlink>
            <w:r w:rsidR="00557A68" w:rsidRPr="00EE01B4">
              <w:rPr>
                <w:sz w:val="20"/>
                <w:szCs w:val="20"/>
                <w:lang w:val="fr-FR"/>
              </w:rPr>
              <w:t xml:space="preserve"> </w:t>
            </w:r>
          </w:p>
        </w:tc>
        <w:tc>
          <w:tcPr>
            <w:tcW w:w="2164" w:type="dxa"/>
          </w:tcPr>
          <w:p w:rsidR="00557A68" w:rsidRPr="00EE01B4" w:rsidRDefault="00557A68" w:rsidP="00B5352E">
            <w:pPr>
              <w:rPr>
                <w:rFonts w:cs="Arial"/>
                <w:sz w:val="20"/>
                <w:szCs w:val="20"/>
                <w:lang w:val="fr-FR"/>
              </w:rPr>
            </w:pPr>
            <w:r w:rsidRPr="00EE01B4">
              <w:rPr>
                <w:rFonts w:cs="Arial"/>
                <w:sz w:val="20"/>
                <w:szCs w:val="20"/>
                <w:lang w:val="fr-FR"/>
              </w:rPr>
              <w:t>Technique</w:t>
            </w:r>
          </w:p>
        </w:tc>
        <w:tc>
          <w:tcPr>
            <w:tcW w:w="2614" w:type="dxa"/>
          </w:tcPr>
          <w:p w:rsidR="00557A68" w:rsidRPr="00EE01B4" w:rsidRDefault="00557A68" w:rsidP="00B5352E">
            <w:pPr>
              <w:rPr>
                <w:rFonts w:cs="Arial"/>
                <w:sz w:val="20"/>
                <w:szCs w:val="20"/>
                <w:lang w:val="fr-FR"/>
              </w:rPr>
            </w:pPr>
            <w:r w:rsidRPr="00EE01B4">
              <w:rPr>
                <w:rFonts w:cs="Arial"/>
                <w:sz w:val="20"/>
                <w:szCs w:val="20"/>
                <w:lang w:val="fr-FR"/>
              </w:rPr>
              <w:t xml:space="preserve">Praticiens </w:t>
            </w:r>
          </w:p>
        </w:tc>
        <w:tc>
          <w:tcPr>
            <w:tcW w:w="1256" w:type="dxa"/>
          </w:tcPr>
          <w:p w:rsidR="00557A68" w:rsidRPr="00EE01B4" w:rsidRDefault="00557A68" w:rsidP="00B5352E">
            <w:pPr>
              <w:rPr>
                <w:rFonts w:cs="Arial"/>
                <w:sz w:val="20"/>
                <w:szCs w:val="20"/>
                <w:lang w:val="fr-FR"/>
              </w:rPr>
            </w:pPr>
          </w:p>
        </w:tc>
        <w:tc>
          <w:tcPr>
            <w:tcW w:w="1288" w:type="dxa"/>
          </w:tcPr>
          <w:p w:rsidR="00557A68" w:rsidRPr="00EE01B4" w:rsidRDefault="00557A68" w:rsidP="00B5352E">
            <w:pPr>
              <w:rPr>
                <w:rFonts w:cs="Arial"/>
                <w:sz w:val="20"/>
                <w:szCs w:val="20"/>
                <w:lang w:val="fr-FR"/>
              </w:rPr>
            </w:pPr>
            <w:r w:rsidRPr="00EE01B4">
              <w:rPr>
                <w:sz w:val="20"/>
                <w:szCs w:val="20"/>
                <w:lang w:val="fr-FR"/>
              </w:rPr>
              <w:t>EFS</w:t>
            </w:r>
          </w:p>
        </w:tc>
        <w:tc>
          <w:tcPr>
            <w:tcW w:w="5259" w:type="dxa"/>
          </w:tcPr>
          <w:p w:rsidR="00557A68" w:rsidRPr="00EE01B4" w:rsidRDefault="00557A68" w:rsidP="00A07A1D">
            <w:pPr>
              <w:spacing w:after="40"/>
              <w:rPr>
                <w:sz w:val="20"/>
                <w:szCs w:val="20"/>
                <w:lang w:val="fr-FR"/>
              </w:rPr>
            </w:pPr>
            <w:r w:rsidRPr="00EE01B4">
              <w:rPr>
                <w:rFonts w:cs="Arial"/>
                <w:sz w:val="20"/>
                <w:szCs w:val="20"/>
                <w:u w:val="single"/>
                <w:lang w:val="fr-FR"/>
              </w:rPr>
              <w:t>Résumé</w:t>
            </w:r>
            <w:r w:rsidRPr="00EE01B4">
              <w:rPr>
                <w:rFonts w:cs="Arial"/>
                <w:sz w:val="20"/>
                <w:szCs w:val="20"/>
                <w:lang w:val="fr-FR"/>
              </w:rPr>
              <w:t xml:space="preserve"> : Le document décrit au lecteur le concept d’intégration des aspects culturels dans les travaux de la Convention de Ramsar et en particulier dans la gestion des zones humides, grâce à l’approbation des Résolutions </w:t>
            </w:r>
            <w:r w:rsidRPr="00EE01B4">
              <w:rPr>
                <w:sz w:val="20"/>
                <w:szCs w:val="20"/>
                <w:lang w:val="fr-FR"/>
              </w:rPr>
              <w:t xml:space="preserve">VIII.19 et IX.21 et aux travaux du Groupe de travail sur la culture vers l’élaboration d’orientations. </w:t>
            </w:r>
          </w:p>
        </w:tc>
      </w:tr>
      <w:tr w:rsidR="00557A68" w:rsidRPr="00EE01B4" w:rsidTr="0025591A">
        <w:tblPrEx>
          <w:tblBorders>
            <w:bottom w:val="single" w:sz="4" w:space="0" w:color="auto"/>
            <w:insideH w:val="single" w:sz="4" w:space="0" w:color="auto"/>
            <w:insideV w:val="single" w:sz="4" w:space="0" w:color="auto"/>
          </w:tblBorders>
        </w:tblPrEx>
        <w:tc>
          <w:tcPr>
            <w:tcW w:w="3033" w:type="dxa"/>
          </w:tcPr>
          <w:p w:rsidR="00557A68" w:rsidRPr="00EE01B4" w:rsidRDefault="00DF180B" w:rsidP="00B52909">
            <w:pPr>
              <w:rPr>
                <w:sz w:val="20"/>
                <w:szCs w:val="20"/>
                <w:lang w:val="fr-FR"/>
              </w:rPr>
            </w:pPr>
            <w:hyperlink r:id="rId92" w:history="1">
              <w:r w:rsidR="00557A68" w:rsidRPr="00EE01B4">
                <w:rPr>
                  <w:rStyle w:val="Hyperlink"/>
                  <w:rFonts w:cs="Arial"/>
                  <w:sz w:val="20"/>
                  <w:szCs w:val="20"/>
                  <w:lang w:val="fr-FR"/>
                </w:rPr>
                <w:t xml:space="preserve">Évaluation économique des zones humides : Guide à l’usage des décideurs et planificateurs (Publication, Ramsar 1997) </w:t>
              </w:r>
            </w:hyperlink>
            <w:r w:rsidR="00557A68" w:rsidRPr="00EE01B4">
              <w:rPr>
                <w:rFonts w:cs="Arial"/>
                <w:sz w:val="20"/>
                <w:szCs w:val="20"/>
                <w:lang w:val="fr-FR"/>
              </w:rPr>
              <w:t xml:space="preserve"> </w:t>
            </w:r>
          </w:p>
        </w:tc>
        <w:tc>
          <w:tcPr>
            <w:tcW w:w="2164" w:type="dxa"/>
          </w:tcPr>
          <w:p w:rsidR="00557A68" w:rsidRPr="00EE01B4" w:rsidRDefault="00557A68" w:rsidP="00B5352E">
            <w:pPr>
              <w:rPr>
                <w:rFonts w:cs="Arial"/>
                <w:sz w:val="20"/>
                <w:szCs w:val="20"/>
                <w:lang w:val="fr-FR"/>
              </w:rPr>
            </w:pPr>
            <w:r w:rsidRPr="00EE01B4">
              <w:rPr>
                <w:rFonts w:cs="Arial"/>
                <w:sz w:val="20"/>
                <w:szCs w:val="20"/>
                <w:lang w:val="fr-FR"/>
              </w:rPr>
              <w:t>Technique</w:t>
            </w:r>
          </w:p>
        </w:tc>
        <w:tc>
          <w:tcPr>
            <w:tcW w:w="2614" w:type="dxa"/>
          </w:tcPr>
          <w:p w:rsidR="00557A68" w:rsidRPr="00EE01B4" w:rsidRDefault="00557A68" w:rsidP="00B5352E">
            <w:pPr>
              <w:rPr>
                <w:rFonts w:cs="Arial"/>
                <w:sz w:val="20"/>
                <w:szCs w:val="20"/>
                <w:lang w:val="fr-FR"/>
              </w:rPr>
            </w:pPr>
            <w:r w:rsidRPr="00EE01B4">
              <w:rPr>
                <w:rFonts w:cs="Arial"/>
                <w:sz w:val="20"/>
                <w:szCs w:val="20"/>
                <w:lang w:val="fr-FR"/>
              </w:rPr>
              <w:t>Décideurs, praticiens</w:t>
            </w:r>
          </w:p>
        </w:tc>
        <w:tc>
          <w:tcPr>
            <w:tcW w:w="1256" w:type="dxa"/>
          </w:tcPr>
          <w:p w:rsidR="00557A68" w:rsidRPr="00EE01B4" w:rsidRDefault="00557A68" w:rsidP="00B5352E">
            <w:pPr>
              <w:rPr>
                <w:rFonts w:cs="Arial"/>
                <w:sz w:val="20"/>
                <w:szCs w:val="20"/>
                <w:lang w:val="fr-FR"/>
              </w:rPr>
            </w:pPr>
          </w:p>
        </w:tc>
        <w:tc>
          <w:tcPr>
            <w:tcW w:w="1288" w:type="dxa"/>
          </w:tcPr>
          <w:p w:rsidR="00557A68" w:rsidRPr="00EE01B4" w:rsidRDefault="00557A68" w:rsidP="00B5352E">
            <w:pPr>
              <w:rPr>
                <w:sz w:val="20"/>
                <w:szCs w:val="20"/>
                <w:lang w:val="fr-FR"/>
              </w:rPr>
            </w:pPr>
            <w:r w:rsidRPr="00EE01B4">
              <w:rPr>
                <w:rFonts w:cs="Arial"/>
                <w:sz w:val="20"/>
                <w:szCs w:val="20"/>
                <w:lang w:val="fr-FR"/>
              </w:rPr>
              <w:t>EFS</w:t>
            </w:r>
          </w:p>
        </w:tc>
        <w:tc>
          <w:tcPr>
            <w:tcW w:w="5259" w:type="dxa"/>
          </w:tcPr>
          <w:p w:rsidR="00557A68" w:rsidRPr="00EE01B4" w:rsidRDefault="00557A68" w:rsidP="00B5352E">
            <w:pPr>
              <w:spacing w:after="40"/>
              <w:rPr>
                <w:sz w:val="20"/>
                <w:szCs w:val="20"/>
                <w:lang w:val="fr-FR"/>
              </w:rPr>
            </w:pPr>
          </w:p>
        </w:tc>
      </w:tr>
      <w:tr w:rsidR="00557A68" w:rsidRPr="00EE01B4" w:rsidTr="0025591A">
        <w:tblPrEx>
          <w:tblBorders>
            <w:bottom w:val="single" w:sz="4" w:space="0" w:color="auto"/>
            <w:insideH w:val="single" w:sz="4" w:space="0" w:color="auto"/>
            <w:insideV w:val="single" w:sz="4" w:space="0" w:color="auto"/>
          </w:tblBorders>
        </w:tblPrEx>
        <w:tc>
          <w:tcPr>
            <w:tcW w:w="3033" w:type="dxa"/>
          </w:tcPr>
          <w:p w:rsidR="00557A68" w:rsidRPr="00EE01B4" w:rsidRDefault="00557A68" w:rsidP="00795DBC">
            <w:pPr>
              <w:spacing w:after="40"/>
              <w:rPr>
                <w:sz w:val="20"/>
                <w:szCs w:val="20"/>
                <w:lang w:val="fr-FR"/>
              </w:rPr>
            </w:pPr>
            <w:r w:rsidRPr="00EE01B4">
              <w:rPr>
                <w:sz w:val="20"/>
                <w:szCs w:val="20"/>
                <w:lang w:val="fr-FR"/>
              </w:rPr>
              <w:t>Projet de Note d’information du GEST pour la présente période triennale n° ____: Services écosystémiques des zones humides (à venir; titre à finaliser)</w:t>
            </w:r>
          </w:p>
        </w:tc>
        <w:tc>
          <w:tcPr>
            <w:tcW w:w="2164" w:type="dxa"/>
          </w:tcPr>
          <w:p w:rsidR="00557A68" w:rsidRPr="00EE01B4" w:rsidRDefault="00557A68" w:rsidP="00B5352E">
            <w:pPr>
              <w:rPr>
                <w:rFonts w:cs="Arial"/>
                <w:sz w:val="20"/>
                <w:szCs w:val="20"/>
                <w:lang w:val="fr-FR"/>
              </w:rPr>
            </w:pPr>
            <w:r w:rsidRPr="00EE01B4">
              <w:rPr>
                <w:rFonts w:cs="Arial"/>
                <w:sz w:val="20"/>
                <w:szCs w:val="20"/>
                <w:lang w:val="fr-FR"/>
              </w:rPr>
              <w:t>Technique</w:t>
            </w:r>
          </w:p>
        </w:tc>
        <w:tc>
          <w:tcPr>
            <w:tcW w:w="2614" w:type="dxa"/>
          </w:tcPr>
          <w:p w:rsidR="00557A68" w:rsidRPr="00EE01B4" w:rsidRDefault="00557A68" w:rsidP="00B5352E">
            <w:pPr>
              <w:rPr>
                <w:rFonts w:cs="Arial"/>
                <w:sz w:val="20"/>
                <w:szCs w:val="20"/>
                <w:lang w:val="fr-FR"/>
              </w:rPr>
            </w:pPr>
            <w:r w:rsidRPr="00EE01B4">
              <w:rPr>
                <w:rFonts w:cs="Arial"/>
                <w:sz w:val="20"/>
                <w:szCs w:val="20"/>
                <w:lang w:val="fr-FR"/>
              </w:rPr>
              <w:t>Praticiens</w:t>
            </w:r>
          </w:p>
        </w:tc>
        <w:tc>
          <w:tcPr>
            <w:tcW w:w="1256" w:type="dxa"/>
          </w:tcPr>
          <w:p w:rsidR="00557A68" w:rsidRPr="00EE01B4" w:rsidRDefault="00557A68" w:rsidP="00B5352E">
            <w:pPr>
              <w:rPr>
                <w:rFonts w:cs="Arial"/>
                <w:sz w:val="20"/>
                <w:szCs w:val="20"/>
                <w:lang w:val="fr-FR"/>
              </w:rPr>
            </w:pPr>
          </w:p>
        </w:tc>
        <w:tc>
          <w:tcPr>
            <w:tcW w:w="1288" w:type="dxa"/>
          </w:tcPr>
          <w:p w:rsidR="00557A68" w:rsidRPr="00EE01B4" w:rsidRDefault="00557A68" w:rsidP="00B5352E">
            <w:pPr>
              <w:spacing w:after="40"/>
              <w:rPr>
                <w:sz w:val="20"/>
                <w:szCs w:val="20"/>
                <w:lang w:val="fr-FR"/>
              </w:rPr>
            </w:pPr>
            <w:r w:rsidRPr="00EE01B4">
              <w:rPr>
                <w:sz w:val="20"/>
                <w:szCs w:val="20"/>
                <w:lang w:val="fr-FR"/>
              </w:rPr>
              <w:t>E</w:t>
            </w:r>
          </w:p>
        </w:tc>
        <w:tc>
          <w:tcPr>
            <w:tcW w:w="5259" w:type="dxa"/>
          </w:tcPr>
          <w:p w:rsidR="00557A68" w:rsidRPr="00EE01B4" w:rsidRDefault="00557A68" w:rsidP="00B5352E">
            <w:pPr>
              <w:spacing w:after="40"/>
              <w:rPr>
                <w:sz w:val="20"/>
                <w:szCs w:val="20"/>
                <w:lang w:val="fr-FR"/>
              </w:rPr>
            </w:pPr>
          </w:p>
        </w:tc>
      </w:tr>
      <w:tr w:rsidR="0025591A" w:rsidRPr="00EE01B4" w:rsidTr="0025591A">
        <w:tblPrEx>
          <w:tblBorders>
            <w:bottom w:val="single" w:sz="4" w:space="0" w:color="auto"/>
            <w:insideH w:val="single" w:sz="4" w:space="0" w:color="auto"/>
            <w:insideV w:val="single" w:sz="4" w:space="0" w:color="auto"/>
          </w:tblBorders>
        </w:tblPrEx>
        <w:tc>
          <w:tcPr>
            <w:tcW w:w="15614" w:type="dxa"/>
            <w:gridSpan w:val="6"/>
            <w:shd w:val="clear" w:color="auto" w:fill="F2F2F2" w:themeFill="background1" w:themeFillShade="F2"/>
          </w:tcPr>
          <w:p w:rsidR="0025591A" w:rsidRPr="00EE01B4" w:rsidRDefault="0025591A" w:rsidP="007F2A42">
            <w:pPr>
              <w:jc w:val="center"/>
              <w:rPr>
                <w:b/>
                <w:sz w:val="20"/>
                <w:szCs w:val="20"/>
                <w:lang w:val="fr-CH"/>
              </w:rPr>
            </w:pPr>
            <w:r w:rsidRPr="00EE01B4">
              <w:rPr>
                <w:b/>
                <w:sz w:val="20"/>
                <w:szCs w:val="20"/>
                <w:lang w:val="fr-CH"/>
              </w:rPr>
              <w:t>Autres orientations</w:t>
            </w:r>
          </w:p>
        </w:tc>
      </w:tr>
      <w:tr w:rsidR="009D62D8" w:rsidRPr="00EE01B4" w:rsidTr="009D62D8">
        <w:tblPrEx>
          <w:tblBorders>
            <w:bottom w:val="single" w:sz="4" w:space="0" w:color="auto"/>
            <w:insideH w:val="single" w:sz="4" w:space="0" w:color="auto"/>
            <w:insideV w:val="single" w:sz="4" w:space="0" w:color="auto"/>
          </w:tblBorders>
        </w:tblPrEx>
        <w:tc>
          <w:tcPr>
            <w:tcW w:w="15614" w:type="dxa"/>
            <w:gridSpan w:val="6"/>
            <w:shd w:val="clear" w:color="auto" w:fill="FBD4B4" w:themeFill="accent6" w:themeFillTint="66"/>
          </w:tcPr>
          <w:p w:rsidR="009D62D8" w:rsidRPr="00EE01B4" w:rsidRDefault="009D62D8" w:rsidP="00B5352E">
            <w:pPr>
              <w:spacing w:after="40"/>
              <w:rPr>
                <w:sz w:val="20"/>
                <w:szCs w:val="20"/>
                <w:lang w:val="en-GB"/>
              </w:rPr>
            </w:pPr>
            <w:r w:rsidRPr="00EE01B4">
              <w:rPr>
                <w:b/>
                <w:sz w:val="20"/>
                <w:szCs w:val="20"/>
                <w:lang w:val="fr-CH"/>
              </w:rPr>
              <w:t>Mise à jour 2016-2019</w:t>
            </w:r>
          </w:p>
        </w:tc>
      </w:tr>
      <w:tr w:rsidR="0025591A" w:rsidRPr="00DF180B" w:rsidTr="0025591A">
        <w:tblPrEx>
          <w:tblBorders>
            <w:bottom w:val="single" w:sz="4" w:space="0" w:color="auto"/>
            <w:insideH w:val="single" w:sz="4" w:space="0" w:color="auto"/>
            <w:insideV w:val="single" w:sz="4" w:space="0" w:color="auto"/>
          </w:tblBorders>
        </w:tblPrEx>
        <w:tc>
          <w:tcPr>
            <w:tcW w:w="3033" w:type="dxa"/>
          </w:tcPr>
          <w:p w:rsidR="0025591A" w:rsidRPr="00EE01B4" w:rsidRDefault="00DF180B" w:rsidP="007F2A42">
            <w:pPr>
              <w:rPr>
                <w:sz w:val="20"/>
                <w:szCs w:val="20"/>
                <w:lang w:val="en-CA"/>
              </w:rPr>
            </w:pPr>
            <w:hyperlink r:id="rId93" w:history="1">
              <w:r w:rsidR="0025591A" w:rsidRPr="00EE01B4">
                <w:rPr>
                  <w:rStyle w:val="Hyperlink"/>
                  <w:sz w:val="20"/>
                  <w:szCs w:val="20"/>
                  <w:lang w:val="en-CA"/>
                </w:rPr>
                <w:t>Assessment Report on Land Degradation and Restoration</w:t>
              </w:r>
            </w:hyperlink>
          </w:p>
        </w:tc>
        <w:tc>
          <w:tcPr>
            <w:tcW w:w="2164" w:type="dxa"/>
          </w:tcPr>
          <w:p w:rsidR="0025591A" w:rsidRPr="00EE01B4" w:rsidRDefault="0025591A" w:rsidP="007F2A42">
            <w:pPr>
              <w:rPr>
                <w:rFonts w:cs="Arial"/>
                <w:sz w:val="20"/>
                <w:szCs w:val="20"/>
                <w:lang w:val="en-CA"/>
              </w:rPr>
            </w:pPr>
          </w:p>
        </w:tc>
        <w:tc>
          <w:tcPr>
            <w:tcW w:w="2614" w:type="dxa"/>
          </w:tcPr>
          <w:p w:rsidR="0025591A" w:rsidRPr="00EE01B4" w:rsidRDefault="0025591A" w:rsidP="007F2A42">
            <w:pPr>
              <w:rPr>
                <w:rFonts w:cs="Arial"/>
                <w:sz w:val="20"/>
                <w:szCs w:val="20"/>
                <w:lang w:val="en-CA"/>
              </w:rPr>
            </w:pPr>
          </w:p>
        </w:tc>
        <w:tc>
          <w:tcPr>
            <w:tcW w:w="1256" w:type="dxa"/>
          </w:tcPr>
          <w:p w:rsidR="0025591A" w:rsidRPr="00EE01B4" w:rsidRDefault="0025591A" w:rsidP="007F2A42">
            <w:pPr>
              <w:rPr>
                <w:rFonts w:cs="Arial"/>
                <w:sz w:val="20"/>
                <w:szCs w:val="20"/>
                <w:lang w:val="en-CA"/>
              </w:rPr>
            </w:pPr>
          </w:p>
        </w:tc>
        <w:tc>
          <w:tcPr>
            <w:tcW w:w="1288" w:type="dxa"/>
          </w:tcPr>
          <w:p w:rsidR="0025591A" w:rsidRPr="00EE01B4" w:rsidRDefault="0025591A" w:rsidP="007F2A42">
            <w:pPr>
              <w:rPr>
                <w:sz w:val="20"/>
                <w:szCs w:val="20"/>
                <w:lang w:val="fr-CH"/>
              </w:rPr>
            </w:pPr>
            <w:r w:rsidRPr="00EE01B4">
              <w:rPr>
                <w:sz w:val="20"/>
                <w:szCs w:val="20"/>
                <w:lang w:val="fr-CH"/>
              </w:rPr>
              <w:t>E</w:t>
            </w:r>
          </w:p>
        </w:tc>
        <w:tc>
          <w:tcPr>
            <w:tcW w:w="5259" w:type="dxa"/>
          </w:tcPr>
          <w:p w:rsidR="0025591A" w:rsidRPr="00EE01B4" w:rsidRDefault="0025591A" w:rsidP="007F2A42">
            <w:pPr>
              <w:rPr>
                <w:sz w:val="20"/>
                <w:szCs w:val="20"/>
                <w:lang w:val="en-CA"/>
              </w:rPr>
            </w:pPr>
            <w:r w:rsidRPr="00EE01B4">
              <w:rPr>
                <w:sz w:val="20"/>
                <w:szCs w:val="20"/>
                <w:lang w:val="en-CA"/>
              </w:rPr>
              <w:t>IPBES</w:t>
            </w:r>
          </w:p>
          <w:p w:rsidR="0025591A" w:rsidRPr="00EE01B4" w:rsidRDefault="0025591A" w:rsidP="007F2A42">
            <w:pPr>
              <w:rPr>
                <w:sz w:val="20"/>
                <w:szCs w:val="20"/>
                <w:lang w:val="en-CA"/>
              </w:rPr>
            </w:pPr>
            <w:r w:rsidRPr="00EE01B4">
              <w:rPr>
                <w:sz w:val="20"/>
                <w:szCs w:val="20"/>
                <w:u w:val="single"/>
                <w:lang w:val="en-CA"/>
              </w:rPr>
              <w:t>Summary</w:t>
            </w:r>
            <w:r w:rsidRPr="00EE01B4">
              <w:rPr>
                <w:sz w:val="20"/>
                <w:szCs w:val="20"/>
                <w:lang w:val="en-CA"/>
              </w:rPr>
              <w:t>: The assessment “provides a critical analysis of the state of knowledge regarding the importance, drivers, status, and trends of terrestrial ecosystems”.</w:t>
            </w:r>
          </w:p>
        </w:tc>
      </w:tr>
      <w:tr w:rsidR="0025591A" w:rsidRPr="00DF180B" w:rsidTr="0025591A">
        <w:tblPrEx>
          <w:tblBorders>
            <w:bottom w:val="single" w:sz="4" w:space="0" w:color="auto"/>
            <w:insideH w:val="single" w:sz="4" w:space="0" w:color="auto"/>
            <w:insideV w:val="single" w:sz="4" w:space="0" w:color="auto"/>
          </w:tblBorders>
        </w:tblPrEx>
        <w:tc>
          <w:tcPr>
            <w:tcW w:w="3033" w:type="dxa"/>
          </w:tcPr>
          <w:p w:rsidR="0025591A" w:rsidRPr="00EE01B4" w:rsidRDefault="00DF180B" w:rsidP="007F2A42">
            <w:pPr>
              <w:rPr>
                <w:sz w:val="20"/>
                <w:szCs w:val="20"/>
                <w:lang w:val="en-CA"/>
              </w:rPr>
            </w:pPr>
            <w:hyperlink r:id="rId94" w:history="1">
              <w:r w:rsidR="0025591A" w:rsidRPr="00EE01B4">
                <w:rPr>
                  <w:rStyle w:val="Hyperlink"/>
                  <w:sz w:val="20"/>
                  <w:szCs w:val="20"/>
                  <w:lang w:val="en-CA"/>
                </w:rPr>
                <w:t>Assessment Report on Pollinators, Pollination and Food Production</w:t>
              </w:r>
            </w:hyperlink>
          </w:p>
        </w:tc>
        <w:tc>
          <w:tcPr>
            <w:tcW w:w="2164" w:type="dxa"/>
          </w:tcPr>
          <w:p w:rsidR="0025591A" w:rsidRPr="00EE01B4" w:rsidRDefault="0025591A" w:rsidP="007F2A42">
            <w:pPr>
              <w:rPr>
                <w:rFonts w:cs="Arial"/>
                <w:sz w:val="20"/>
                <w:szCs w:val="20"/>
                <w:lang w:val="en-CA"/>
              </w:rPr>
            </w:pPr>
          </w:p>
        </w:tc>
        <w:tc>
          <w:tcPr>
            <w:tcW w:w="2614" w:type="dxa"/>
          </w:tcPr>
          <w:p w:rsidR="0025591A" w:rsidRPr="00EE01B4" w:rsidRDefault="0025591A" w:rsidP="007F2A42">
            <w:pPr>
              <w:rPr>
                <w:rFonts w:cs="Arial"/>
                <w:sz w:val="20"/>
                <w:szCs w:val="20"/>
                <w:lang w:val="en-CA"/>
              </w:rPr>
            </w:pPr>
          </w:p>
        </w:tc>
        <w:tc>
          <w:tcPr>
            <w:tcW w:w="1256" w:type="dxa"/>
          </w:tcPr>
          <w:p w:rsidR="0025591A" w:rsidRPr="00EE01B4" w:rsidRDefault="0025591A" w:rsidP="007F2A42">
            <w:pPr>
              <w:rPr>
                <w:rFonts w:cs="Arial"/>
                <w:sz w:val="20"/>
                <w:szCs w:val="20"/>
                <w:lang w:val="en-CA"/>
              </w:rPr>
            </w:pPr>
          </w:p>
        </w:tc>
        <w:tc>
          <w:tcPr>
            <w:tcW w:w="1288" w:type="dxa"/>
          </w:tcPr>
          <w:p w:rsidR="0025591A" w:rsidRPr="00EE01B4" w:rsidRDefault="0025591A" w:rsidP="007F2A42">
            <w:pPr>
              <w:rPr>
                <w:sz w:val="20"/>
                <w:szCs w:val="20"/>
                <w:lang w:val="en-CA"/>
              </w:rPr>
            </w:pPr>
            <w:r w:rsidRPr="00EE01B4">
              <w:rPr>
                <w:sz w:val="20"/>
                <w:szCs w:val="20"/>
                <w:lang w:val="en-CA"/>
              </w:rPr>
              <w:t>E (summary for policymakers available in EFSRAC)</w:t>
            </w:r>
          </w:p>
        </w:tc>
        <w:tc>
          <w:tcPr>
            <w:tcW w:w="5259" w:type="dxa"/>
          </w:tcPr>
          <w:p w:rsidR="0025591A" w:rsidRPr="00EE01B4" w:rsidRDefault="0025591A" w:rsidP="007F2A42">
            <w:pPr>
              <w:rPr>
                <w:sz w:val="20"/>
                <w:szCs w:val="20"/>
                <w:lang w:val="en-CA"/>
              </w:rPr>
            </w:pPr>
            <w:r w:rsidRPr="00EE01B4">
              <w:rPr>
                <w:sz w:val="20"/>
                <w:szCs w:val="20"/>
                <w:lang w:val="en-CA"/>
              </w:rPr>
              <w:t>IPBES</w:t>
            </w:r>
          </w:p>
          <w:p w:rsidR="0025591A" w:rsidRPr="00EE01B4" w:rsidRDefault="0025591A" w:rsidP="007F2A42">
            <w:pPr>
              <w:rPr>
                <w:sz w:val="20"/>
                <w:szCs w:val="20"/>
                <w:lang w:val="en-CA"/>
              </w:rPr>
            </w:pPr>
            <w:r w:rsidRPr="00EE01B4">
              <w:rPr>
                <w:sz w:val="20"/>
                <w:szCs w:val="20"/>
                <w:u w:val="single"/>
                <w:lang w:val="en-CA"/>
              </w:rPr>
              <w:t>Summary</w:t>
            </w:r>
            <w:r w:rsidRPr="00EE01B4">
              <w:rPr>
                <w:sz w:val="20"/>
                <w:szCs w:val="20"/>
                <w:lang w:val="en-CA"/>
              </w:rPr>
              <w:t>: The thematic assessment “aims to assess animal pollination as a regulating ecosystem service underpinning food production in the context of its contribution to nature’s gifts to people and supporting a good quality of life”.</w:t>
            </w:r>
          </w:p>
          <w:p w:rsidR="0025591A" w:rsidRPr="00EE01B4" w:rsidRDefault="0025591A" w:rsidP="007F2A42">
            <w:pPr>
              <w:rPr>
                <w:sz w:val="20"/>
                <w:szCs w:val="20"/>
                <w:lang w:val="en-CA"/>
              </w:rPr>
            </w:pPr>
          </w:p>
        </w:tc>
      </w:tr>
      <w:tr w:rsidR="0025591A" w:rsidRPr="00DF180B" w:rsidTr="0025591A">
        <w:tblPrEx>
          <w:tblBorders>
            <w:bottom w:val="single" w:sz="4" w:space="0" w:color="auto"/>
            <w:insideH w:val="single" w:sz="4" w:space="0" w:color="auto"/>
            <w:insideV w:val="single" w:sz="4" w:space="0" w:color="auto"/>
          </w:tblBorders>
        </w:tblPrEx>
        <w:tc>
          <w:tcPr>
            <w:tcW w:w="3033" w:type="dxa"/>
          </w:tcPr>
          <w:p w:rsidR="0025591A" w:rsidRPr="00EE01B4" w:rsidRDefault="00DF180B" w:rsidP="007F2A42">
            <w:pPr>
              <w:rPr>
                <w:sz w:val="20"/>
                <w:szCs w:val="20"/>
                <w:lang w:val="en-CA"/>
              </w:rPr>
            </w:pPr>
            <w:hyperlink r:id="rId95" w:history="1">
              <w:r w:rsidR="0025591A" w:rsidRPr="00EE01B4">
                <w:rPr>
                  <w:rStyle w:val="Hyperlink"/>
                  <w:sz w:val="20"/>
                  <w:szCs w:val="20"/>
                  <w:lang w:val="en-CA"/>
                </w:rPr>
                <w:t>The methodological assessment report on scenarios and models of biodiversity and ecosystem services</w:t>
              </w:r>
            </w:hyperlink>
          </w:p>
        </w:tc>
        <w:tc>
          <w:tcPr>
            <w:tcW w:w="2164" w:type="dxa"/>
          </w:tcPr>
          <w:p w:rsidR="0025591A" w:rsidRPr="00EE01B4" w:rsidRDefault="0025591A" w:rsidP="007F2A42">
            <w:pPr>
              <w:rPr>
                <w:rFonts w:cs="Arial"/>
                <w:sz w:val="20"/>
                <w:szCs w:val="20"/>
                <w:lang w:val="en-CA"/>
              </w:rPr>
            </w:pPr>
          </w:p>
        </w:tc>
        <w:tc>
          <w:tcPr>
            <w:tcW w:w="2614" w:type="dxa"/>
          </w:tcPr>
          <w:p w:rsidR="0025591A" w:rsidRPr="00EE01B4" w:rsidRDefault="0025591A" w:rsidP="007F2A42">
            <w:pPr>
              <w:rPr>
                <w:rFonts w:cs="Arial"/>
                <w:sz w:val="20"/>
                <w:szCs w:val="20"/>
                <w:lang w:val="en-CA"/>
              </w:rPr>
            </w:pPr>
          </w:p>
        </w:tc>
        <w:tc>
          <w:tcPr>
            <w:tcW w:w="1256" w:type="dxa"/>
          </w:tcPr>
          <w:p w:rsidR="0025591A" w:rsidRPr="00EE01B4" w:rsidRDefault="0025591A" w:rsidP="007F2A42">
            <w:pPr>
              <w:rPr>
                <w:rFonts w:cs="Arial"/>
                <w:sz w:val="20"/>
                <w:szCs w:val="20"/>
                <w:lang w:val="en-CA"/>
              </w:rPr>
            </w:pPr>
          </w:p>
        </w:tc>
        <w:tc>
          <w:tcPr>
            <w:tcW w:w="1288" w:type="dxa"/>
          </w:tcPr>
          <w:p w:rsidR="0025591A" w:rsidRPr="00EE01B4" w:rsidRDefault="0025591A" w:rsidP="007F2A42">
            <w:pPr>
              <w:rPr>
                <w:sz w:val="20"/>
                <w:szCs w:val="20"/>
                <w:lang w:val="en-CA"/>
              </w:rPr>
            </w:pPr>
            <w:r w:rsidRPr="00EE01B4">
              <w:rPr>
                <w:sz w:val="20"/>
                <w:szCs w:val="20"/>
                <w:lang w:val="en-CA"/>
              </w:rPr>
              <w:t>E (summary for policymakers available in EFSRAC)</w:t>
            </w:r>
          </w:p>
        </w:tc>
        <w:tc>
          <w:tcPr>
            <w:tcW w:w="5259" w:type="dxa"/>
          </w:tcPr>
          <w:p w:rsidR="0025591A" w:rsidRPr="00EE01B4" w:rsidRDefault="0025591A" w:rsidP="007F2A42">
            <w:pPr>
              <w:rPr>
                <w:sz w:val="20"/>
                <w:szCs w:val="20"/>
                <w:lang w:val="en-CA"/>
              </w:rPr>
            </w:pPr>
            <w:r w:rsidRPr="00EE01B4">
              <w:rPr>
                <w:sz w:val="20"/>
                <w:szCs w:val="20"/>
                <w:lang w:val="en-CA"/>
              </w:rPr>
              <w:t>IPBES</w:t>
            </w:r>
          </w:p>
          <w:p w:rsidR="0025591A" w:rsidRPr="00EE01B4" w:rsidRDefault="0025591A" w:rsidP="007F2A42">
            <w:pPr>
              <w:rPr>
                <w:sz w:val="20"/>
                <w:szCs w:val="20"/>
                <w:lang w:val="en-CA"/>
              </w:rPr>
            </w:pPr>
            <w:r w:rsidRPr="00EE01B4">
              <w:rPr>
                <w:sz w:val="20"/>
                <w:szCs w:val="20"/>
                <w:lang w:val="en-CA"/>
              </w:rPr>
              <w:t>Summary: The assessment “provides guidance for the use of scenarios and models for experts performing assessments within IPBES, as well as to scientists and other stakeholders and decision makers”.</w:t>
            </w:r>
          </w:p>
        </w:tc>
      </w:tr>
      <w:tr w:rsidR="0025591A" w:rsidRPr="00DF180B" w:rsidTr="0025591A">
        <w:tblPrEx>
          <w:tblBorders>
            <w:bottom w:val="single" w:sz="4" w:space="0" w:color="auto"/>
            <w:insideH w:val="single" w:sz="4" w:space="0" w:color="auto"/>
            <w:insideV w:val="single" w:sz="4" w:space="0" w:color="auto"/>
          </w:tblBorders>
        </w:tblPrEx>
        <w:tc>
          <w:tcPr>
            <w:tcW w:w="3033" w:type="dxa"/>
          </w:tcPr>
          <w:p w:rsidR="0025591A" w:rsidRPr="00EE01B4" w:rsidRDefault="00DF180B" w:rsidP="007F2A42">
            <w:pPr>
              <w:rPr>
                <w:sz w:val="20"/>
                <w:szCs w:val="20"/>
                <w:lang w:val="en-CA"/>
              </w:rPr>
            </w:pPr>
            <w:hyperlink r:id="rId96" w:history="1">
              <w:r w:rsidR="0025591A" w:rsidRPr="00EE01B4">
                <w:rPr>
                  <w:rStyle w:val="Hyperlink"/>
                  <w:sz w:val="20"/>
                  <w:szCs w:val="20"/>
                  <w:lang w:val="en-CA"/>
                </w:rPr>
                <w:t xml:space="preserve">Regional Assessment Report on Biodiversity and Ecosystem </w:t>
              </w:r>
              <w:r w:rsidR="0025591A" w:rsidRPr="00EE01B4">
                <w:rPr>
                  <w:rStyle w:val="Hyperlink"/>
                  <w:sz w:val="20"/>
                  <w:szCs w:val="20"/>
                  <w:lang w:val="en-CA"/>
                </w:rPr>
                <w:lastRenderedPageBreak/>
                <w:t>Services for Africa</w:t>
              </w:r>
            </w:hyperlink>
          </w:p>
        </w:tc>
        <w:tc>
          <w:tcPr>
            <w:tcW w:w="2164" w:type="dxa"/>
          </w:tcPr>
          <w:p w:rsidR="0025591A" w:rsidRPr="00EE01B4" w:rsidRDefault="0025591A" w:rsidP="007F2A42">
            <w:pPr>
              <w:rPr>
                <w:rFonts w:cs="Arial"/>
                <w:sz w:val="20"/>
                <w:szCs w:val="20"/>
                <w:lang w:val="en-CA"/>
              </w:rPr>
            </w:pPr>
          </w:p>
        </w:tc>
        <w:tc>
          <w:tcPr>
            <w:tcW w:w="2614" w:type="dxa"/>
          </w:tcPr>
          <w:p w:rsidR="0025591A" w:rsidRPr="00EE01B4" w:rsidRDefault="0025591A" w:rsidP="007F2A42">
            <w:pPr>
              <w:rPr>
                <w:rFonts w:cs="Arial"/>
                <w:sz w:val="20"/>
                <w:szCs w:val="20"/>
                <w:lang w:val="en-CA"/>
              </w:rPr>
            </w:pPr>
          </w:p>
        </w:tc>
        <w:tc>
          <w:tcPr>
            <w:tcW w:w="1256" w:type="dxa"/>
          </w:tcPr>
          <w:p w:rsidR="0025591A" w:rsidRPr="00EE01B4" w:rsidRDefault="0025591A" w:rsidP="007F2A42">
            <w:pPr>
              <w:rPr>
                <w:rFonts w:cs="Arial"/>
                <w:sz w:val="20"/>
                <w:szCs w:val="20"/>
                <w:lang w:val="en-CA"/>
              </w:rPr>
            </w:pPr>
          </w:p>
        </w:tc>
        <w:tc>
          <w:tcPr>
            <w:tcW w:w="1288" w:type="dxa"/>
          </w:tcPr>
          <w:p w:rsidR="0025591A" w:rsidRPr="00EE01B4" w:rsidRDefault="0025591A" w:rsidP="007F2A42">
            <w:pPr>
              <w:rPr>
                <w:sz w:val="20"/>
                <w:szCs w:val="20"/>
                <w:lang w:val="en-CA"/>
              </w:rPr>
            </w:pPr>
            <w:r w:rsidRPr="00EE01B4">
              <w:rPr>
                <w:sz w:val="20"/>
                <w:szCs w:val="20"/>
                <w:lang w:val="en-CA"/>
              </w:rPr>
              <w:t xml:space="preserve">E (summary for </w:t>
            </w:r>
            <w:r w:rsidRPr="00EE01B4">
              <w:rPr>
                <w:sz w:val="20"/>
                <w:szCs w:val="20"/>
                <w:lang w:val="en-CA"/>
              </w:rPr>
              <w:lastRenderedPageBreak/>
              <w:t>policymakers available in EFSRAC)</w:t>
            </w:r>
          </w:p>
        </w:tc>
        <w:tc>
          <w:tcPr>
            <w:tcW w:w="5259" w:type="dxa"/>
          </w:tcPr>
          <w:p w:rsidR="0025591A" w:rsidRPr="00EE01B4" w:rsidRDefault="0025591A" w:rsidP="007F2A42">
            <w:pPr>
              <w:rPr>
                <w:sz w:val="20"/>
                <w:szCs w:val="20"/>
                <w:lang w:val="en-CA"/>
              </w:rPr>
            </w:pPr>
            <w:r w:rsidRPr="00EE01B4">
              <w:rPr>
                <w:sz w:val="20"/>
                <w:szCs w:val="20"/>
                <w:lang w:val="en-CA"/>
              </w:rPr>
              <w:lastRenderedPageBreak/>
              <w:t>IPBES</w:t>
            </w:r>
          </w:p>
          <w:p w:rsidR="0025591A" w:rsidRPr="00EE01B4" w:rsidRDefault="0025591A" w:rsidP="007F2A42">
            <w:pPr>
              <w:rPr>
                <w:sz w:val="20"/>
                <w:szCs w:val="20"/>
                <w:lang w:val="en-CA"/>
              </w:rPr>
            </w:pPr>
            <w:r w:rsidRPr="00EE01B4">
              <w:rPr>
                <w:sz w:val="20"/>
                <w:szCs w:val="20"/>
                <w:u w:val="single"/>
                <w:lang w:val="en-CA"/>
              </w:rPr>
              <w:t>Summary</w:t>
            </w:r>
            <w:r w:rsidRPr="00EE01B4">
              <w:rPr>
                <w:sz w:val="20"/>
                <w:szCs w:val="20"/>
                <w:lang w:val="en-CA"/>
              </w:rPr>
              <w:t xml:space="preserve">: The assessment “provides a critical analysis of the </w:t>
            </w:r>
            <w:r w:rsidRPr="00EE01B4">
              <w:rPr>
                <w:sz w:val="20"/>
                <w:szCs w:val="20"/>
                <w:lang w:val="en-CA"/>
              </w:rPr>
              <w:lastRenderedPageBreak/>
              <w:t>state of knowledge regarding the importance, status, and trends of biodiversity and nature’s contributions to people”.</w:t>
            </w:r>
          </w:p>
        </w:tc>
      </w:tr>
      <w:tr w:rsidR="0025591A" w:rsidRPr="00DF180B" w:rsidTr="0025591A">
        <w:tblPrEx>
          <w:tblBorders>
            <w:bottom w:val="single" w:sz="4" w:space="0" w:color="auto"/>
            <w:insideH w:val="single" w:sz="4" w:space="0" w:color="auto"/>
            <w:insideV w:val="single" w:sz="4" w:space="0" w:color="auto"/>
          </w:tblBorders>
        </w:tblPrEx>
        <w:tc>
          <w:tcPr>
            <w:tcW w:w="3033" w:type="dxa"/>
          </w:tcPr>
          <w:p w:rsidR="0025591A" w:rsidRPr="00EE01B4" w:rsidRDefault="00DF180B" w:rsidP="007F2A42">
            <w:pPr>
              <w:rPr>
                <w:sz w:val="20"/>
                <w:szCs w:val="20"/>
                <w:lang w:val="en-CA"/>
              </w:rPr>
            </w:pPr>
            <w:hyperlink r:id="rId97" w:history="1">
              <w:r w:rsidR="0025591A" w:rsidRPr="00EE01B4">
                <w:rPr>
                  <w:rStyle w:val="Hyperlink"/>
                  <w:sz w:val="20"/>
                  <w:szCs w:val="20"/>
                  <w:lang w:val="en-CA"/>
                </w:rPr>
                <w:t>Regional Assessment Report on Biodiversity and Ecosystem Services for the Americas</w:t>
              </w:r>
            </w:hyperlink>
          </w:p>
        </w:tc>
        <w:tc>
          <w:tcPr>
            <w:tcW w:w="2164" w:type="dxa"/>
          </w:tcPr>
          <w:p w:rsidR="0025591A" w:rsidRPr="00EE01B4" w:rsidRDefault="0025591A" w:rsidP="007F2A42">
            <w:pPr>
              <w:rPr>
                <w:rFonts w:cs="Arial"/>
                <w:sz w:val="20"/>
                <w:szCs w:val="20"/>
                <w:lang w:val="en-CA"/>
              </w:rPr>
            </w:pPr>
          </w:p>
        </w:tc>
        <w:tc>
          <w:tcPr>
            <w:tcW w:w="2614" w:type="dxa"/>
          </w:tcPr>
          <w:p w:rsidR="0025591A" w:rsidRPr="00EE01B4" w:rsidRDefault="0025591A" w:rsidP="007F2A42">
            <w:pPr>
              <w:rPr>
                <w:rFonts w:cs="Arial"/>
                <w:sz w:val="20"/>
                <w:szCs w:val="20"/>
                <w:lang w:val="en-CA"/>
              </w:rPr>
            </w:pPr>
          </w:p>
        </w:tc>
        <w:tc>
          <w:tcPr>
            <w:tcW w:w="1256" w:type="dxa"/>
          </w:tcPr>
          <w:p w:rsidR="0025591A" w:rsidRPr="00EE01B4" w:rsidRDefault="0025591A" w:rsidP="007F2A42">
            <w:pPr>
              <w:rPr>
                <w:rFonts w:cs="Arial"/>
                <w:sz w:val="20"/>
                <w:szCs w:val="20"/>
                <w:lang w:val="en-CA"/>
              </w:rPr>
            </w:pPr>
          </w:p>
        </w:tc>
        <w:tc>
          <w:tcPr>
            <w:tcW w:w="1288" w:type="dxa"/>
          </w:tcPr>
          <w:p w:rsidR="0025591A" w:rsidRPr="00EE01B4" w:rsidRDefault="0025591A" w:rsidP="007F2A42">
            <w:pPr>
              <w:rPr>
                <w:sz w:val="20"/>
                <w:szCs w:val="20"/>
                <w:lang w:val="fr-CH"/>
              </w:rPr>
            </w:pPr>
            <w:r w:rsidRPr="00EE01B4">
              <w:rPr>
                <w:sz w:val="20"/>
                <w:szCs w:val="20"/>
                <w:lang w:val="fr-CH"/>
              </w:rPr>
              <w:t>E</w:t>
            </w:r>
          </w:p>
        </w:tc>
        <w:tc>
          <w:tcPr>
            <w:tcW w:w="5259" w:type="dxa"/>
          </w:tcPr>
          <w:p w:rsidR="0025591A" w:rsidRPr="00EE01B4" w:rsidRDefault="0025591A" w:rsidP="007F2A42">
            <w:pPr>
              <w:rPr>
                <w:sz w:val="20"/>
                <w:szCs w:val="20"/>
                <w:lang w:val="en-CA"/>
              </w:rPr>
            </w:pPr>
            <w:r w:rsidRPr="00EE01B4">
              <w:rPr>
                <w:sz w:val="20"/>
                <w:szCs w:val="20"/>
                <w:lang w:val="en-CA"/>
              </w:rPr>
              <w:t>IPBES</w:t>
            </w:r>
          </w:p>
          <w:p w:rsidR="0025591A" w:rsidRPr="00EE01B4" w:rsidRDefault="0025591A" w:rsidP="007F2A42">
            <w:pPr>
              <w:rPr>
                <w:sz w:val="20"/>
                <w:szCs w:val="20"/>
                <w:lang w:val="en-CA"/>
              </w:rPr>
            </w:pPr>
            <w:r w:rsidRPr="00EE01B4">
              <w:rPr>
                <w:sz w:val="20"/>
                <w:szCs w:val="20"/>
                <w:u w:val="single"/>
                <w:lang w:val="en-CA"/>
              </w:rPr>
              <w:t>Summary</w:t>
            </w:r>
            <w:r w:rsidRPr="00EE01B4">
              <w:rPr>
                <w:sz w:val="20"/>
                <w:szCs w:val="20"/>
                <w:lang w:val="en-CA"/>
              </w:rPr>
              <w:t>: The assessment “provides a critical analysis of the state of knowledge regarding the importance, status, and trends of biodiversity and nature’s contributions to people”.</w:t>
            </w:r>
          </w:p>
        </w:tc>
      </w:tr>
      <w:tr w:rsidR="0025591A" w:rsidRPr="00DF180B" w:rsidTr="0025591A">
        <w:tblPrEx>
          <w:tblBorders>
            <w:bottom w:val="single" w:sz="4" w:space="0" w:color="auto"/>
            <w:insideH w:val="single" w:sz="4" w:space="0" w:color="auto"/>
            <w:insideV w:val="single" w:sz="4" w:space="0" w:color="auto"/>
          </w:tblBorders>
        </w:tblPrEx>
        <w:tc>
          <w:tcPr>
            <w:tcW w:w="3033" w:type="dxa"/>
          </w:tcPr>
          <w:p w:rsidR="0025591A" w:rsidRPr="00EE01B4" w:rsidRDefault="00DF180B" w:rsidP="007F2A42">
            <w:pPr>
              <w:rPr>
                <w:sz w:val="20"/>
                <w:szCs w:val="20"/>
                <w:lang w:val="en-CA"/>
              </w:rPr>
            </w:pPr>
            <w:hyperlink r:id="rId98" w:history="1">
              <w:r w:rsidR="0025591A" w:rsidRPr="00EE01B4">
                <w:rPr>
                  <w:rStyle w:val="Hyperlink"/>
                  <w:sz w:val="20"/>
                  <w:szCs w:val="20"/>
                  <w:lang w:val="en-CA"/>
                </w:rPr>
                <w:t>Regional Assessment Report on Biodiversity and Ecosystem Services for Asia and the Pacific</w:t>
              </w:r>
            </w:hyperlink>
          </w:p>
        </w:tc>
        <w:tc>
          <w:tcPr>
            <w:tcW w:w="2164" w:type="dxa"/>
          </w:tcPr>
          <w:p w:rsidR="0025591A" w:rsidRPr="00EE01B4" w:rsidRDefault="0025591A" w:rsidP="007F2A42">
            <w:pPr>
              <w:rPr>
                <w:rFonts w:cs="Arial"/>
                <w:sz w:val="20"/>
                <w:szCs w:val="20"/>
                <w:lang w:val="en-CA"/>
              </w:rPr>
            </w:pPr>
          </w:p>
        </w:tc>
        <w:tc>
          <w:tcPr>
            <w:tcW w:w="2614" w:type="dxa"/>
          </w:tcPr>
          <w:p w:rsidR="0025591A" w:rsidRPr="00EE01B4" w:rsidRDefault="0025591A" w:rsidP="007F2A42">
            <w:pPr>
              <w:rPr>
                <w:rFonts w:cs="Arial"/>
                <w:sz w:val="20"/>
                <w:szCs w:val="20"/>
                <w:lang w:val="en-CA"/>
              </w:rPr>
            </w:pPr>
          </w:p>
        </w:tc>
        <w:tc>
          <w:tcPr>
            <w:tcW w:w="1256" w:type="dxa"/>
          </w:tcPr>
          <w:p w:rsidR="0025591A" w:rsidRPr="00EE01B4" w:rsidRDefault="0025591A" w:rsidP="007F2A42">
            <w:pPr>
              <w:rPr>
                <w:rFonts w:cs="Arial"/>
                <w:sz w:val="20"/>
                <w:szCs w:val="20"/>
                <w:lang w:val="en-CA"/>
              </w:rPr>
            </w:pPr>
          </w:p>
        </w:tc>
        <w:tc>
          <w:tcPr>
            <w:tcW w:w="1288" w:type="dxa"/>
          </w:tcPr>
          <w:p w:rsidR="0025591A" w:rsidRPr="00EE01B4" w:rsidRDefault="0025591A" w:rsidP="007F2A42">
            <w:pPr>
              <w:rPr>
                <w:sz w:val="20"/>
                <w:szCs w:val="20"/>
                <w:lang w:val="en-CA"/>
              </w:rPr>
            </w:pPr>
            <w:r w:rsidRPr="00EE01B4">
              <w:rPr>
                <w:sz w:val="20"/>
                <w:szCs w:val="20"/>
                <w:lang w:val="en-CA"/>
              </w:rPr>
              <w:t>E (summary for policymakers available in EFSRAC)</w:t>
            </w:r>
          </w:p>
        </w:tc>
        <w:tc>
          <w:tcPr>
            <w:tcW w:w="5259" w:type="dxa"/>
          </w:tcPr>
          <w:p w:rsidR="0025591A" w:rsidRPr="00EE01B4" w:rsidRDefault="0025591A" w:rsidP="007F2A42">
            <w:pPr>
              <w:rPr>
                <w:sz w:val="20"/>
                <w:szCs w:val="20"/>
                <w:lang w:val="en-CA"/>
              </w:rPr>
            </w:pPr>
            <w:r w:rsidRPr="00EE01B4">
              <w:rPr>
                <w:sz w:val="20"/>
                <w:szCs w:val="20"/>
                <w:lang w:val="en-CA"/>
              </w:rPr>
              <w:t>IPBES</w:t>
            </w:r>
          </w:p>
          <w:p w:rsidR="0025591A" w:rsidRPr="00EE01B4" w:rsidRDefault="0025591A" w:rsidP="007F2A42">
            <w:pPr>
              <w:rPr>
                <w:sz w:val="20"/>
                <w:szCs w:val="20"/>
                <w:lang w:val="en-CA"/>
              </w:rPr>
            </w:pPr>
            <w:r w:rsidRPr="00EE01B4">
              <w:rPr>
                <w:sz w:val="20"/>
                <w:szCs w:val="20"/>
                <w:u w:val="single"/>
                <w:lang w:val="en-CA"/>
              </w:rPr>
              <w:t>Summary</w:t>
            </w:r>
            <w:r w:rsidRPr="00EE01B4">
              <w:rPr>
                <w:sz w:val="20"/>
                <w:szCs w:val="20"/>
                <w:lang w:val="en-CA"/>
              </w:rPr>
              <w:t>: The assessment “provides a critical analysis of the state of knowledge regarding the importance, status, and trends of biodiversity and nature’s contributions to people”.</w:t>
            </w:r>
          </w:p>
        </w:tc>
      </w:tr>
      <w:tr w:rsidR="0025591A" w:rsidRPr="00DF180B" w:rsidTr="0025591A">
        <w:tblPrEx>
          <w:tblBorders>
            <w:bottom w:val="single" w:sz="4" w:space="0" w:color="auto"/>
            <w:insideH w:val="single" w:sz="4" w:space="0" w:color="auto"/>
            <w:insideV w:val="single" w:sz="4" w:space="0" w:color="auto"/>
          </w:tblBorders>
        </w:tblPrEx>
        <w:tc>
          <w:tcPr>
            <w:tcW w:w="3033" w:type="dxa"/>
          </w:tcPr>
          <w:p w:rsidR="0025591A" w:rsidRPr="00EE01B4" w:rsidRDefault="00DF180B" w:rsidP="007F2A42">
            <w:pPr>
              <w:rPr>
                <w:sz w:val="20"/>
                <w:szCs w:val="20"/>
                <w:lang w:val="en-CA"/>
              </w:rPr>
            </w:pPr>
            <w:hyperlink r:id="rId99" w:history="1">
              <w:r w:rsidR="0025591A" w:rsidRPr="00EE01B4">
                <w:rPr>
                  <w:rStyle w:val="Hyperlink"/>
                  <w:sz w:val="20"/>
                  <w:szCs w:val="20"/>
                  <w:lang w:val="en-CA"/>
                </w:rPr>
                <w:t>Regional Assessment Report on Biodiversity and Ecosystem Services for Europe and Central Asia</w:t>
              </w:r>
            </w:hyperlink>
          </w:p>
        </w:tc>
        <w:tc>
          <w:tcPr>
            <w:tcW w:w="2164" w:type="dxa"/>
          </w:tcPr>
          <w:p w:rsidR="0025591A" w:rsidRPr="00EE01B4" w:rsidRDefault="0025591A" w:rsidP="007F2A42">
            <w:pPr>
              <w:rPr>
                <w:rFonts w:cs="Arial"/>
                <w:sz w:val="20"/>
                <w:szCs w:val="20"/>
                <w:lang w:val="en-CA"/>
              </w:rPr>
            </w:pPr>
          </w:p>
        </w:tc>
        <w:tc>
          <w:tcPr>
            <w:tcW w:w="2614" w:type="dxa"/>
          </w:tcPr>
          <w:p w:rsidR="0025591A" w:rsidRPr="00EE01B4" w:rsidRDefault="0025591A" w:rsidP="007F2A42">
            <w:pPr>
              <w:rPr>
                <w:rFonts w:cs="Arial"/>
                <w:sz w:val="20"/>
                <w:szCs w:val="20"/>
                <w:lang w:val="en-CA"/>
              </w:rPr>
            </w:pPr>
          </w:p>
        </w:tc>
        <w:tc>
          <w:tcPr>
            <w:tcW w:w="1256" w:type="dxa"/>
          </w:tcPr>
          <w:p w:rsidR="0025591A" w:rsidRPr="00EE01B4" w:rsidRDefault="0025591A" w:rsidP="007F2A42">
            <w:pPr>
              <w:rPr>
                <w:rFonts w:cs="Arial"/>
                <w:sz w:val="20"/>
                <w:szCs w:val="20"/>
                <w:lang w:val="en-CA"/>
              </w:rPr>
            </w:pPr>
          </w:p>
        </w:tc>
        <w:tc>
          <w:tcPr>
            <w:tcW w:w="1288" w:type="dxa"/>
          </w:tcPr>
          <w:p w:rsidR="0025591A" w:rsidRPr="00EE01B4" w:rsidRDefault="0025591A" w:rsidP="007F2A42">
            <w:pPr>
              <w:rPr>
                <w:sz w:val="20"/>
                <w:szCs w:val="20"/>
                <w:lang w:val="fr-CH"/>
              </w:rPr>
            </w:pPr>
            <w:r w:rsidRPr="00EE01B4">
              <w:rPr>
                <w:sz w:val="20"/>
                <w:szCs w:val="20"/>
                <w:lang w:val="fr-CH"/>
              </w:rPr>
              <w:t>E</w:t>
            </w:r>
          </w:p>
        </w:tc>
        <w:tc>
          <w:tcPr>
            <w:tcW w:w="5259" w:type="dxa"/>
          </w:tcPr>
          <w:p w:rsidR="0025591A" w:rsidRPr="00EE01B4" w:rsidRDefault="0025591A" w:rsidP="007F2A42">
            <w:pPr>
              <w:rPr>
                <w:sz w:val="20"/>
                <w:szCs w:val="20"/>
                <w:lang w:val="en-CA"/>
              </w:rPr>
            </w:pPr>
            <w:r w:rsidRPr="00EE01B4">
              <w:rPr>
                <w:sz w:val="20"/>
                <w:szCs w:val="20"/>
                <w:lang w:val="en-CA"/>
              </w:rPr>
              <w:t>IPBES</w:t>
            </w:r>
          </w:p>
          <w:p w:rsidR="0025591A" w:rsidRPr="00EE01B4" w:rsidRDefault="0025591A" w:rsidP="007F2A42">
            <w:pPr>
              <w:rPr>
                <w:sz w:val="20"/>
                <w:szCs w:val="20"/>
                <w:lang w:val="en-CA"/>
              </w:rPr>
            </w:pPr>
            <w:r w:rsidRPr="00EE01B4">
              <w:rPr>
                <w:sz w:val="20"/>
                <w:szCs w:val="20"/>
                <w:u w:val="single"/>
                <w:lang w:val="en-CA"/>
              </w:rPr>
              <w:t>Summary</w:t>
            </w:r>
            <w:r w:rsidRPr="00EE01B4">
              <w:rPr>
                <w:sz w:val="20"/>
                <w:szCs w:val="20"/>
                <w:lang w:val="en-CA"/>
              </w:rPr>
              <w:t>: The assessment “provides a critical analysis of the state of knowledge regarding the importance, status, and trends of biodiversity and nature’s contributions to people”.</w:t>
            </w:r>
          </w:p>
        </w:tc>
      </w:tr>
      <w:tr w:rsidR="0025591A" w:rsidRPr="00DF180B" w:rsidTr="0025591A">
        <w:tblPrEx>
          <w:tblBorders>
            <w:bottom w:val="single" w:sz="4" w:space="0" w:color="auto"/>
            <w:insideH w:val="single" w:sz="4" w:space="0" w:color="auto"/>
            <w:insideV w:val="single" w:sz="4" w:space="0" w:color="auto"/>
          </w:tblBorders>
        </w:tblPrEx>
        <w:tc>
          <w:tcPr>
            <w:tcW w:w="3033" w:type="dxa"/>
          </w:tcPr>
          <w:p w:rsidR="0025591A" w:rsidRPr="00EE01B4" w:rsidRDefault="00DF180B" w:rsidP="007F2A42">
            <w:pPr>
              <w:rPr>
                <w:sz w:val="20"/>
                <w:szCs w:val="20"/>
                <w:lang w:val="en-CA"/>
              </w:rPr>
            </w:pPr>
            <w:hyperlink r:id="rId100" w:history="1">
              <w:r w:rsidR="0025591A" w:rsidRPr="00EE01B4">
                <w:rPr>
                  <w:rStyle w:val="Hyperlink"/>
                  <w:sz w:val="20"/>
                  <w:szCs w:val="20"/>
                  <w:lang w:val="en-CA"/>
                </w:rPr>
                <w:t>Helping nature help us - Transforming disaster risk reduction through ecosystem management</w:t>
              </w:r>
            </w:hyperlink>
          </w:p>
        </w:tc>
        <w:tc>
          <w:tcPr>
            <w:tcW w:w="2164" w:type="dxa"/>
          </w:tcPr>
          <w:p w:rsidR="0025591A" w:rsidRPr="00EE01B4" w:rsidRDefault="0025591A" w:rsidP="007F2A42">
            <w:pPr>
              <w:rPr>
                <w:rFonts w:cs="Arial"/>
                <w:sz w:val="20"/>
                <w:szCs w:val="20"/>
                <w:lang w:val="en-CA"/>
              </w:rPr>
            </w:pPr>
          </w:p>
        </w:tc>
        <w:tc>
          <w:tcPr>
            <w:tcW w:w="2614" w:type="dxa"/>
          </w:tcPr>
          <w:p w:rsidR="0025591A" w:rsidRPr="00EE01B4" w:rsidRDefault="0025591A" w:rsidP="007F2A42">
            <w:pPr>
              <w:rPr>
                <w:rFonts w:cs="Arial"/>
                <w:sz w:val="20"/>
                <w:szCs w:val="20"/>
                <w:lang w:val="en-CA"/>
              </w:rPr>
            </w:pPr>
          </w:p>
        </w:tc>
        <w:tc>
          <w:tcPr>
            <w:tcW w:w="1256" w:type="dxa"/>
          </w:tcPr>
          <w:p w:rsidR="0025591A" w:rsidRPr="00EE01B4" w:rsidRDefault="0025591A" w:rsidP="007F2A42">
            <w:pPr>
              <w:rPr>
                <w:rFonts w:cs="Arial"/>
                <w:sz w:val="20"/>
                <w:szCs w:val="20"/>
                <w:lang w:val="en-CA"/>
              </w:rPr>
            </w:pPr>
          </w:p>
        </w:tc>
        <w:tc>
          <w:tcPr>
            <w:tcW w:w="1288" w:type="dxa"/>
          </w:tcPr>
          <w:p w:rsidR="0025591A" w:rsidRPr="00EE01B4" w:rsidRDefault="0025591A" w:rsidP="007F2A42">
            <w:pPr>
              <w:rPr>
                <w:sz w:val="20"/>
                <w:szCs w:val="20"/>
                <w:lang w:val="fr-CH"/>
              </w:rPr>
            </w:pPr>
            <w:r w:rsidRPr="00EE01B4">
              <w:rPr>
                <w:sz w:val="20"/>
                <w:szCs w:val="20"/>
                <w:lang w:val="fr-CH"/>
              </w:rPr>
              <w:t>E</w:t>
            </w:r>
          </w:p>
        </w:tc>
        <w:tc>
          <w:tcPr>
            <w:tcW w:w="5259" w:type="dxa"/>
          </w:tcPr>
          <w:p w:rsidR="0025591A" w:rsidRPr="00EE01B4" w:rsidRDefault="0025591A" w:rsidP="007F2A42">
            <w:pPr>
              <w:rPr>
                <w:sz w:val="20"/>
                <w:szCs w:val="20"/>
                <w:lang w:val="en-CA"/>
              </w:rPr>
            </w:pPr>
            <w:r w:rsidRPr="00EE01B4">
              <w:rPr>
                <w:sz w:val="20"/>
                <w:szCs w:val="20"/>
                <w:lang w:val="en-CA"/>
              </w:rPr>
              <w:t>IUCN</w:t>
            </w:r>
          </w:p>
          <w:p w:rsidR="0025591A" w:rsidRPr="00EE01B4" w:rsidRDefault="0025591A" w:rsidP="007F2A42">
            <w:pPr>
              <w:rPr>
                <w:sz w:val="20"/>
                <w:szCs w:val="20"/>
                <w:lang w:val="en-CA"/>
              </w:rPr>
            </w:pPr>
            <w:r w:rsidRPr="00EE01B4">
              <w:rPr>
                <w:sz w:val="20"/>
                <w:szCs w:val="20"/>
                <w:lang w:val="en-CA"/>
              </w:rPr>
              <w:t>Summary: “This publication documents the importance of biodiversity in disaster risk reduction and makes a case for the implementation of common approaches that contribute to both conservation and risk reduction. Assessments of regional experiences on Eco-DRR also highlight the opportunities and entry-points to scale-up integrated approaches”.</w:t>
            </w:r>
          </w:p>
        </w:tc>
      </w:tr>
      <w:tr w:rsidR="0025591A" w:rsidRPr="00DF180B" w:rsidTr="0025591A">
        <w:tblPrEx>
          <w:tblBorders>
            <w:bottom w:val="single" w:sz="4" w:space="0" w:color="auto"/>
            <w:insideH w:val="single" w:sz="4" w:space="0" w:color="auto"/>
            <w:insideV w:val="single" w:sz="4" w:space="0" w:color="auto"/>
          </w:tblBorders>
        </w:tblPrEx>
        <w:tc>
          <w:tcPr>
            <w:tcW w:w="3033" w:type="dxa"/>
          </w:tcPr>
          <w:p w:rsidR="0025591A" w:rsidRPr="00EE01B4" w:rsidRDefault="00DF180B" w:rsidP="007F2A42">
            <w:pPr>
              <w:rPr>
                <w:sz w:val="20"/>
                <w:szCs w:val="20"/>
                <w:lang w:val="en-CA"/>
              </w:rPr>
            </w:pPr>
            <w:hyperlink r:id="rId101" w:history="1">
              <w:r w:rsidR="0025591A" w:rsidRPr="00EE01B4">
                <w:rPr>
                  <w:rStyle w:val="Hyperlink"/>
                  <w:sz w:val="20"/>
                  <w:szCs w:val="20"/>
                  <w:lang w:val="en-CA"/>
                </w:rPr>
                <w:t>Landscapes, at your service: Applications of the Restoration Opportunities Optimization Tool (ROOT)</w:t>
              </w:r>
            </w:hyperlink>
          </w:p>
        </w:tc>
        <w:tc>
          <w:tcPr>
            <w:tcW w:w="2164" w:type="dxa"/>
          </w:tcPr>
          <w:p w:rsidR="0025591A" w:rsidRPr="00EE01B4" w:rsidRDefault="0025591A" w:rsidP="007F2A42">
            <w:pPr>
              <w:rPr>
                <w:rFonts w:cs="Arial"/>
                <w:sz w:val="20"/>
                <w:szCs w:val="20"/>
                <w:lang w:val="en-CA"/>
              </w:rPr>
            </w:pPr>
          </w:p>
        </w:tc>
        <w:tc>
          <w:tcPr>
            <w:tcW w:w="2614" w:type="dxa"/>
          </w:tcPr>
          <w:p w:rsidR="0025591A" w:rsidRPr="00EE01B4" w:rsidRDefault="0025591A" w:rsidP="007F2A42">
            <w:pPr>
              <w:rPr>
                <w:rFonts w:cs="Arial"/>
                <w:sz w:val="20"/>
                <w:szCs w:val="20"/>
                <w:lang w:val="en-CA"/>
              </w:rPr>
            </w:pPr>
          </w:p>
        </w:tc>
        <w:tc>
          <w:tcPr>
            <w:tcW w:w="1256" w:type="dxa"/>
          </w:tcPr>
          <w:p w:rsidR="0025591A" w:rsidRPr="00EE01B4" w:rsidRDefault="0025591A" w:rsidP="007F2A42">
            <w:pPr>
              <w:rPr>
                <w:rFonts w:cs="Arial"/>
                <w:sz w:val="20"/>
                <w:szCs w:val="20"/>
                <w:lang w:val="en-CA"/>
              </w:rPr>
            </w:pPr>
          </w:p>
        </w:tc>
        <w:tc>
          <w:tcPr>
            <w:tcW w:w="1288" w:type="dxa"/>
          </w:tcPr>
          <w:p w:rsidR="0025591A" w:rsidRPr="00EE01B4" w:rsidRDefault="0025591A" w:rsidP="007F2A42">
            <w:pPr>
              <w:rPr>
                <w:sz w:val="20"/>
                <w:szCs w:val="20"/>
                <w:lang w:val="fr-CH"/>
              </w:rPr>
            </w:pPr>
            <w:r w:rsidRPr="00EE01B4">
              <w:rPr>
                <w:sz w:val="20"/>
                <w:szCs w:val="20"/>
                <w:lang w:val="fr-CH"/>
              </w:rPr>
              <w:t>E</w:t>
            </w:r>
          </w:p>
        </w:tc>
        <w:tc>
          <w:tcPr>
            <w:tcW w:w="5259" w:type="dxa"/>
          </w:tcPr>
          <w:p w:rsidR="0025591A" w:rsidRPr="00EE01B4" w:rsidRDefault="0025591A" w:rsidP="007F2A42">
            <w:pPr>
              <w:rPr>
                <w:sz w:val="20"/>
                <w:szCs w:val="20"/>
                <w:lang w:val="en-CA"/>
              </w:rPr>
            </w:pPr>
            <w:r w:rsidRPr="00EE01B4">
              <w:rPr>
                <w:sz w:val="20"/>
                <w:szCs w:val="20"/>
                <w:lang w:val="en-CA"/>
              </w:rPr>
              <w:t>IUCN</w:t>
            </w:r>
          </w:p>
          <w:p w:rsidR="0025591A" w:rsidRPr="00EE01B4" w:rsidRDefault="0025591A" w:rsidP="007F2A42">
            <w:pPr>
              <w:rPr>
                <w:sz w:val="20"/>
                <w:szCs w:val="20"/>
                <w:lang w:val="en-CA"/>
              </w:rPr>
            </w:pPr>
            <w:r w:rsidRPr="00EE01B4">
              <w:rPr>
                <w:sz w:val="20"/>
                <w:szCs w:val="20"/>
                <w:lang w:val="en-CA"/>
              </w:rPr>
              <w:t>Summary: The case studies in this document demonstrate examples of the practical applicability of ROOT in different contexts, using ROOT in several different ways.</w:t>
            </w:r>
          </w:p>
        </w:tc>
      </w:tr>
      <w:tr w:rsidR="0025591A" w:rsidRPr="00DF180B" w:rsidTr="0025591A">
        <w:tblPrEx>
          <w:tblBorders>
            <w:bottom w:val="single" w:sz="4" w:space="0" w:color="auto"/>
            <w:insideH w:val="single" w:sz="4" w:space="0" w:color="auto"/>
            <w:insideV w:val="single" w:sz="4" w:space="0" w:color="auto"/>
          </w:tblBorders>
        </w:tblPrEx>
        <w:tc>
          <w:tcPr>
            <w:tcW w:w="3033" w:type="dxa"/>
          </w:tcPr>
          <w:p w:rsidR="0025591A" w:rsidRPr="00EE01B4" w:rsidRDefault="00DF180B" w:rsidP="007F2A42">
            <w:pPr>
              <w:rPr>
                <w:sz w:val="20"/>
                <w:szCs w:val="20"/>
                <w:lang w:val="en-CA"/>
              </w:rPr>
            </w:pPr>
            <w:hyperlink r:id="rId102" w:history="1">
              <w:r w:rsidR="0025591A" w:rsidRPr="00EE01B4">
                <w:rPr>
                  <w:rStyle w:val="Hyperlink"/>
                  <w:sz w:val="20"/>
                  <w:szCs w:val="20"/>
                  <w:lang w:val="en-CA"/>
                </w:rPr>
                <w:t>Tools for measuring, modelling, and valuing ecosystem services : Guidance for Key Biodiversity Areas, natural World Heritage sites, and protected areas</w:t>
              </w:r>
            </w:hyperlink>
          </w:p>
        </w:tc>
        <w:tc>
          <w:tcPr>
            <w:tcW w:w="2164" w:type="dxa"/>
          </w:tcPr>
          <w:p w:rsidR="0025591A" w:rsidRPr="00EE01B4" w:rsidRDefault="0025591A" w:rsidP="007F2A42">
            <w:pPr>
              <w:rPr>
                <w:rFonts w:cs="Arial"/>
                <w:sz w:val="20"/>
                <w:szCs w:val="20"/>
                <w:lang w:val="en-CA"/>
              </w:rPr>
            </w:pPr>
          </w:p>
        </w:tc>
        <w:tc>
          <w:tcPr>
            <w:tcW w:w="2614" w:type="dxa"/>
          </w:tcPr>
          <w:p w:rsidR="0025591A" w:rsidRPr="00EE01B4" w:rsidRDefault="0025591A" w:rsidP="007F2A42">
            <w:pPr>
              <w:rPr>
                <w:rFonts w:cs="Arial"/>
                <w:sz w:val="20"/>
                <w:szCs w:val="20"/>
                <w:lang w:val="en-CA"/>
              </w:rPr>
            </w:pPr>
          </w:p>
        </w:tc>
        <w:tc>
          <w:tcPr>
            <w:tcW w:w="1256" w:type="dxa"/>
          </w:tcPr>
          <w:p w:rsidR="0025591A" w:rsidRPr="00EE01B4" w:rsidRDefault="0025591A" w:rsidP="007F2A42">
            <w:pPr>
              <w:rPr>
                <w:rFonts w:cs="Arial"/>
                <w:sz w:val="20"/>
                <w:szCs w:val="20"/>
                <w:lang w:val="en-CA"/>
              </w:rPr>
            </w:pPr>
          </w:p>
        </w:tc>
        <w:tc>
          <w:tcPr>
            <w:tcW w:w="1288" w:type="dxa"/>
          </w:tcPr>
          <w:p w:rsidR="0025591A" w:rsidRPr="00EE01B4" w:rsidRDefault="0025591A" w:rsidP="007F2A42">
            <w:pPr>
              <w:rPr>
                <w:sz w:val="20"/>
                <w:szCs w:val="20"/>
                <w:lang w:val="fr-CH"/>
              </w:rPr>
            </w:pPr>
            <w:r w:rsidRPr="00EE01B4">
              <w:rPr>
                <w:sz w:val="20"/>
                <w:szCs w:val="20"/>
                <w:lang w:val="fr-CH"/>
              </w:rPr>
              <w:t>E</w:t>
            </w:r>
          </w:p>
        </w:tc>
        <w:tc>
          <w:tcPr>
            <w:tcW w:w="5259" w:type="dxa"/>
          </w:tcPr>
          <w:p w:rsidR="0025591A" w:rsidRPr="00EE01B4" w:rsidRDefault="0025591A" w:rsidP="007F2A42">
            <w:pPr>
              <w:rPr>
                <w:sz w:val="20"/>
                <w:szCs w:val="20"/>
                <w:lang w:val="en-CA"/>
              </w:rPr>
            </w:pPr>
            <w:r w:rsidRPr="00EE01B4">
              <w:rPr>
                <w:sz w:val="20"/>
                <w:szCs w:val="20"/>
                <w:lang w:val="en-CA"/>
              </w:rPr>
              <w:t>IUCN</w:t>
            </w:r>
          </w:p>
          <w:p w:rsidR="0025591A" w:rsidRPr="00EE01B4" w:rsidRDefault="0025591A" w:rsidP="007F2A42">
            <w:pPr>
              <w:rPr>
                <w:sz w:val="20"/>
                <w:szCs w:val="20"/>
                <w:lang w:val="en-CA"/>
              </w:rPr>
            </w:pPr>
            <w:r w:rsidRPr="00EE01B4">
              <w:rPr>
                <w:sz w:val="20"/>
                <w:szCs w:val="20"/>
                <w:lang w:val="en-CA"/>
              </w:rPr>
              <w:t>Summary: “This document provides guidance for practitioners on existing tools that can be applied to measure or model ES provided by important sites for biodiversity and nature conservation, including Key Biodiversity Areas (KBAs), natural World Heritage sites (WHS), and protected areas (PAs)”.</w:t>
            </w:r>
          </w:p>
        </w:tc>
      </w:tr>
      <w:tr w:rsidR="0025591A" w:rsidRPr="00EE01B4" w:rsidTr="009D62D8">
        <w:tblPrEx>
          <w:tblBorders>
            <w:bottom w:val="single" w:sz="4" w:space="0" w:color="auto"/>
            <w:insideH w:val="single" w:sz="4" w:space="0" w:color="auto"/>
            <w:insideV w:val="single" w:sz="4" w:space="0" w:color="auto"/>
          </w:tblBorders>
        </w:tblPrEx>
        <w:tc>
          <w:tcPr>
            <w:tcW w:w="15614" w:type="dxa"/>
            <w:gridSpan w:val="6"/>
            <w:shd w:val="clear" w:color="auto" w:fill="FBD4B4" w:themeFill="accent6" w:themeFillTint="66"/>
          </w:tcPr>
          <w:p w:rsidR="0025591A" w:rsidRPr="00EE01B4" w:rsidRDefault="0025591A" w:rsidP="0025591A">
            <w:pPr>
              <w:spacing w:after="40"/>
              <w:rPr>
                <w:b/>
                <w:sz w:val="20"/>
                <w:szCs w:val="20"/>
                <w:lang w:val="fr-FR"/>
              </w:rPr>
            </w:pPr>
            <w:r w:rsidRPr="00EE01B4">
              <w:rPr>
                <w:rFonts w:cs="Arial"/>
                <w:b/>
                <w:sz w:val="20"/>
                <w:szCs w:val="20"/>
                <w:lang w:val="fr-CH"/>
              </w:rPr>
              <w:t>Jusqu’en 2015</w:t>
            </w:r>
          </w:p>
        </w:tc>
      </w:tr>
      <w:tr w:rsidR="0025591A" w:rsidRPr="00EE01B4" w:rsidTr="0025591A">
        <w:tblPrEx>
          <w:tblBorders>
            <w:bottom w:val="single" w:sz="4" w:space="0" w:color="auto"/>
            <w:insideH w:val="single" w:sz="4" w:space="0" w:color="auto"/>
            <w:insideV w:val="single" w:sz="4" w:space="0" w:color="auto"/>
          </w:tblBorders>
        </w:tblPrEx>
        <w:tc>
          <w:tcPr>
            <w:tcW w:w="3033" w:type="dxa"/>
          </w:tcPr>
          <w:p w:rsidR="0025591A" w:rsidRPr="00EE01B4" w:rsidRDefault="00DF180B" w:rsidP="00B5352E">
            <w:pPr>
              <w:spacing w:after="40"/>
              <w:rPr>
                <w:color w:val="0000FF" w:themeColor="hyperlink"/>
                <w:sz w:val="20"/>
                <w:szCs w:val="20"/>
                <w:u w:val="single"/>
                <w:lang w:val="en-GB"/>
              </w:rPr>
            </w:pPr>
            <w:hyperlink r:id="rId103" w:history="1">
              <w:r w:rsidR="0025591A" w:rsidRPr="00EE01B4">
                <w:rPr>
                  <w:rStyle w:val="Hyperlink"/>
                  <w:sz w:val="20"/>
                  <w:szCs w:val="20"/>
                  <w:lang w:val="en-GB"/>
                </w:rPr>
                <w:t>Toolkit for Ecosystem Service Site-based Assessments (TESSA)</w:t>
              </w:r>
            </w:hyperlink>
          </w:p>
        </w:tc>
        <w:tc>
          <w:tcPr>
            <w:tcW w:w="2164" w:type="dxa"/>
          </w:tcPr>
          <w:p w:rsidR="0025591A" w:rsidRPr="00EE01B4" w:rsidRDefault="0025591A" w:rsidP="00B5352E">
            <w:pPr>
              <w:rPr>
                <w:rFonts w:cs="Arial"/>
                <w:sz w:val="20"/>
                <w:szCs w:val="20"/>
                <w:lang w:val="en-GB"/>
              </w:rPr>
            </w:pPr>
          </w:p>
        </w:tc>
        <w:tc>
          <w:tcPr>
            <w:tcW w:w="2614" w:type="dxa"/>
          </w:tcPr>
          <w:p w:rsidR="0025591A" w:rsidRPr="00EE01B4" w:rsidRDefault="0025591A" w:rsidP="00B5352E">
            <w:pPr>
              <w:rPr>
                <w:rFonts w:cs="Arial"/>
                <w:sz w:val="20"/>
                <w:szCs w:val="20"/>
                <w:lang w:val="en-GB"/>
              </w:rPr>
            </w:pPr>
          </w:p>
        </w:tc>
        <w:tc>
          <w:tcPr>
            <w:tcW w:w="1256" w:type="dxa"/>
          </w:tcPr>
          <w:p w:rsidR="0025591A" w:rsidRPr="00EE01B4" w:rsidRDefault="0025591A" w:rsidP="00B5352E">
            <w:pPr>
              <w:rPr>
                <w:rFonts w:cs="Arial"/>
                <w:sz w:val="20"/>
                <w:szCs w:val="20"/>
                <w:lang w:val="en-GB"/>
              </w:rPr>
            </w:pPr>
          </w:p>
        </w:tc>
        <w:tc>
          <w:tcPr>
            <w:tcW w:w="1288" w:type="dxa"/>
          </w:tcPr>
          <w:p w:rsidR="0025591A" w:rsidRPr="00EE01B4" w:rsidRDefault="0025591A" w:rsidP="00B5352E">
            <w:pPr>
              <w:rPr>
                <w:rFonts w:cs="Arial"/>
                <w:sz w:val="20"/>
                <w:szCs w:val="20"/>
                <w:lang w:val="en-GB"/>
              </w:rPr>
            </w:pPr>
          </w:p>
        </w:tc>
        <w:tc>
          <w:tcPr>
            <w:tcW w:w="5259" w:type="dxa"/>
          </w:tcPr>
          <w:p w:rsidR="0025591A" w:rsidRPr="00EE01B4" w:rsidRDefault="0025591A" w:rsidP="00B5352E">
            <w:pPr>
              <w:spacing w:after="40"/>
              <w:rPr>
                <w:sz w:val="20"/>
                <w:szCs w:val="20"/>
                <w:lang w:val="fr-FR"/>
              </w:rPr>
            </w:pPr>
            <w:proofErr w:type="spellStart"/>
            <w:r w:rsidRPr="00EE01B4">
              <w:rPr>
                <w:sz w:val="20"/>
                <w:szCs w:val="20"/>
                <w:lang w:val="fr-FR"/>
              </w:rPr>
              <w:t>BirdLife</w:t>
            </w:r>
            <w:proofErr w:type="spellEnd"/>
            <w:r w:rsidRPr="00EE01B4">
              <w:rPr>
                <w:sz w:val="20"/>
                <w:szCs w:val="20"/>
                <w:lang w:val="fr-FR"/>
              </w:rPr>
              <w:t xml:space="preserve"> International</w:t>
            </w:r>
          </w:p>
          <w:p w:rsidR="0025591A" w:rsidRPr="00EE01B4" w:rsidRDefault="0025591A" w:rsidP="00B96104">
            <w:pPr>
              <w:spacing w:after="40"/>
              <w:rPr>
                <w:sz w:val="20"/>
                <w:szCs w:val="20"/>
                <w:lang w:val="fr-FR"/>
              </w:rPr>
            </w:pPr>
            <w:r w:rsidRPr="00EE01B4">
              <w:rPr>
                <w:rFonts w:cs="Arial"/>
                <w:sz w:val="20"/>
                <w:szCs w:val="20"/>
                <w:u w:val="single"/>
                <w:lang w:val="fr-FR"/>
              </w:rPr>
              <w:t>Résumé</w:t>
            </w:r>
            <w:r w:rsidRPr="00EE01B4">
              <w:rPr>
                <w:rFonts w:cs="Arial"/>
                <w:sz w:val="20"/>
                <w:szCs w:val="20"/>
                <w:lang w:val="fr-FR"/>
              </w:rPr>
              <w:t xml:space="preserve"> : Cet outil fournit des orientations accessibles sur les </w:t>
            </w:r>
            <w:r w:rsidRPr="00EE01B4">
              <w:rPr>
                <w:rFonts w:cs="Arial"/>
                <w:sz w:val="20"/>
                <w:szCs w:val="20"/>
                <w:lang w:val="fr-FR"/>
              </w:rPr>
              <w:lastRenderedPageBreak/>
              <w:t xml:space="preserve">méthodes à faible coût pour trouver les moyens d’évaluer les avantages que reçoit la population de la nature dans des sites particuliers afin de générer des informations pouvant être utilisées pour influencer les décideurs. </w:t>
            </w:r>
            <w:r w:rsidRPr="00EE01B4">
              <w:rPr>
                <w:sz w:val="20"/>
                <w:szCs w:val="20"/>
                <w:lang w:val="fr-FR"/>
              </w:rPr>
              <w:t>TESSA s’adresse principalement aux praticiens de la conservation, mais les méthodes pourraient être applicables à toute une gamme d’utilisateurs, notamment les administrateurs des ressources naturelles (p. ex., administrateurs des forêts, des pêches, de l’eau), aux planificateurs, aux organisations de développement (p. ex., pour l’allégement de la pauvreté) et au secteur privé… L’outil comprend des détails … sur plus de 50 méthodes pour évaluer des aspects particuliers … des services écosystémiques… </w:t>
            </w:r>
          </w:p>
        </w:tc>
      </w:tr>
      <w:tr w:rsidR="0025591A" w:rsidRPr="00EE01B4" w:rsidTr="0025591A">
        <w:tblPrEx>
          <w:tblBorders>
            <w:bottom w:val="single" w:sz="4" w:space="0" w:color="auto"/>
            <w:insideH w:val="single" w:sz="4" w:space="0" w:color="auto"/>
            <w:insideV w:val="single" w:sz="4" w:space="0" w:color="auto"/>
          </w:tblBorders>
        </w:tblPrEx>
        <w:tc>
          <w:tcPr>
            <w:tcW w:w="3033" w:type="dxa"/>
          </w:tcPr>
          <w:p w:rsidR="0025591A" w:rsidRPr="00EE01B4" w:rsidRDefault="00DF180B" w:rsidP="00B5352E">
            <w:pPr>
              <w:spacing w:after="40"/>
              <w:rPr>
                <w:color w:val="0000FF" w:themeColor="hyperlink"/>
                <w:sz w:val="20"/>
                <w:szCs w:val="20"/>
                <w:u w:val="single"/>
                <w:lang w:val="en-GB"/>
              </w:rPr>
            </w:pPr>
            <w:hyperlink r:id="rId104" w:history="1">
              <w:r w:rsidR="0025591A" w:rsidRPr="00EE01B4">
                <w:rPr>
                  <w:rStyle w:val="Hyperlink"/>
                  <w:sz w:val="20"/>
                  <w:szCs w:val="20"/>
                  <w:lang w:val="en-GB"/>
                </w:rPr>
                <w:t>Economic Values of Protected Areas: Guidelines for Protected Area Managers</w:t>
              </w:r>
            </w:hyperlink>
          </w:p>
        </w:tc>
        <w:tc>
          <w:tcPr>
            <w:tcW w:w="2164" w:type="dxa"/>
          </w:tcPr>
          <w:p w:rsidR="0025591A" w:rsidRPr="00EE01B4" w:rsidRDefault="0025591A" w:rsidP="00B5352E">
            <w:pPr>
              <w:rPr>
                <w:rFonts w:cs="Arial"/>
                <w:sz w:val="20"/>
                <w:szCs w:val="20"/>
                <w:lang w:val="en-GB"/>
              </w:rPr>
            </w:pPr>
          </w:p>
        </w:tc>
        <w:tc>
          <w:tcPr>
            <w:tcW w:w="2614" w:type="dxa"/>
          </w:tcPr>
          <w:p w:rsidR="0025591A" w:rsidRPr="00EE01B4" w:rsidRDefault="0025591A" w:rsidP="00B5352E">
            <w:pPr>
              <w:rPr>
                <w:rFonts w:cs="Arial"/>
                <w:sz w:val="20"/>
                <w:szCs w:val="20"/>
                <w:lang w:val="en-GB"/>
              </w:rPr>
            </w:pPr>
          </w:p>
        </w:tc>
        <w:tc>
          <w:tcPr>
            <w:tcW w:w="1256" w:type="dxa"/>
          </w:tcPr>
          <w:p w:rsidR="0025591A" w:rsidRPr="00EE01B4" w:rsidRDefault="0025591A" w:rsidP="00B5352E">
            <w:pPr>
              <w:rPr>
                <w:rFonts w:cs="Arial"/>
                <w:sz w:val="20"/>
                <w:szCs w:val="20"/>
                <w:lang w:val="en-GB"/>
              </w:rPr>
            </w:pPr>
          </w:p>
        </w:tc>
        <w:tc>
          <w:tcPr>
            <w:tcW w:w="1288" w:type="dxa"/>
          </w:tcPr>
          <w:p w:rsidR="0025591A" w:rsidRPr="00EE01B4" w:rsidRDefault="0025591A" w:rsidP="00B5352E">
            <w:pPr>
              <w:rPr>
                <w:rFonts w:cs="Arial"/>
                <w:sz w:val="20"/>
                <w:szCs w:val="20"/>
                <w:lang w:val="fr-FR"/>
              </w:rPr>
            </w:pPr>
            <w:r w:rsidRPr="00EE01B4">
              <w:rPr>
                <w:sz w:val="20"/>
                <w:szCs w:val="20"/>
                <w:lang w:val="fr-FR"/>
              </w:rPr>
              <w:t>ER</w:t>
            </w:r>
          </w:p>
        </w:tc>
        <w:tc>
          <w:tcPr>
            <w:tcW w:w="5259" w:type="dxa"/>
          </w:tcPr>
          <w:p w:rsidR="0025591A" w:rsidRPr="00EE01B4" w:rsidRDefault="0025591A" w:rsidP="00B5352E">
            <w:pPr>
              <w:spacing w:after="40"/>
              <w:rPr>
                <w:sz w:val="20"/>
                <w:szCs w:val="20"/>
                <w:lang w:val="fr-FR"/>
              </w:rPr>
            </w:pPr>
            <w:r w:rsidRPr="00EE01B4">
              <w:rPr>
                <w:sz w:val="20"/>
                <w:szCs w:val="20"/>
                <w:lang w:val="fr-FR"/>
              </w:rPr>
              <w:t>UICN</w:t>
            </w:r>
          </w:p>
          <w:p w:rsidR="0025591A" w:rsidRPr="00EE01B4" w:rsidRDefault="0025591A" w:rsidP="00A07A1D">
            <w:pPr>
              <w:spacing w:after="40"/>
              <w:rPr>
                <w:sz w:val="20"/>
                <w:szCs w:val="20"/>
                <w:lang w:val="fr-FR"/>
              </w:rPr>
            </w:pPr>
            <w:r w:rsidRPr="00EE01B4">
              <w:rPr>
                <w:rFonts w:cs="Arial"/>
                <w:sz w:val="20"/>
                <w:szCs w:val="20"/>
                <w:u w:val="single"/>
                <w:lang w:val="fr-FR"/>
              </w:rPr>
              <w:t>Résumé</w:t>
            </w:r>
            <w:r w:rsidRPr="00EE01B4">
              <w:rPr>
                <w:rFonts w:cs="Arial"/>
                <w:sz w:val="20"/>
                <w:szCs w:val="20"/>
                <w:lang w:val="fr-FR"/>
              </w:rPr>
              <w:t xml:space="preserve"> : Le but de ces lignes directrices est de présenter aux administrateurs des aires protégées le concept et les outils d’une évaluation économique et de démontrer les utilisations potentielles de l’évaluation économique pour le financement et la gestion des aires protégées. </w:t>
            </w:r>
          </w:p>
        </w:tc>
      </w:tr>
      <w:tr w:rsidR="0025591A" w:rsidRPr="00EE01B4" w:rsidTr="0025591A">
        <w:tblPrEx>
          <w:tblBorders>
            <w:bottom w:val="single" w:sz="4" w:space="0" w:color="auto"/>
            <w:insideH w:val="single" w:sz="4" w:space="0" w:color="auto"/>
            <w:insideV w:val="single" w:sz="4" w:space="0" w:color="auto"/>
          </w:tblBorders>
        </w:tblPrEx>
        <w:tc>
          <w:tcPr>
            <w:tcW w:w="3033" w:type="dxa"/>
          </w:tcPr>
          <w:p w:rsidR="0025591A" w:rsidRPr="00EE01B4" w:rsidRDefault="00DF180B" w:rsidP="00B5352E">
            <w:pPr>
              <w:spacing w:after="40"/>
              <w:rPr>
                <w:color w:val="FF0000"/>
                <w:sz w:val="20"/>
                <w:szCs w:val="20"/>
                <w:lang w:val="en-GB"/>
              </w:rPr>
            </w:pPr>
            <w:hyperlink r:id="rId105" w:history="1">
              <w:r w:rsidR="0025591A" w:rsidRPr="00EE01B4">
                <w:rPr>
                  <w:rStyle w:val="Hyperlink"/>
                  <w:sz w:val="20"/>
                  <w:szCs w:val="20"/>
                  <w:lang w:val="en-GB"/>
                </w:rPr>
                <w:t>Wetland Resources Action Planning (WRAP) Toolkit</w:t>
              </w:r>
            </w:hyperlink>
          </w:p>
        </w:tc>
        <w:tc>
          <w:tcPr>
            <w:tcW w:w="2164" w:type="dxa"/>
          </w:tcPr>
          <w:p w:rsidR="0025591A" w:rsidRPr="00EE01B4" w:rsidRDefault="0025591A" w:rsidP="00B5352E">
            <w:pPr>
              <w:rPr>
                <w:rFonts w:cs="Arial"/>
                <w:sz w:val="20"/>
                <w:szCs w:val="20"/>
                <w:lang w:val="en-GB"/>
              </w:rPr>
            </w:pPr>
          </w:p>
        </w:tc>
        <w:tc>
          <w:tcPr>
            <w:tcW w:w="2614" w:type="dxa"/>
          </w:tcPr>
          <w:p w:rsidR="0025591A" w:rsidRPr="00EE01B4" w:rsidRDefault="0025591A" w:rsidP="00B5352E">
            <w:pPr>
              <w:rPr>
                <w:rFonts w:cs="Arial"/>
                <w:sz w:val="20"/>
                <w:szCs w:val="20"/>
                <w:lang w:val="en-GB"/>
              </w:rPr>
            </w:pPr>
          </w:p>
        </w:tc>
        <w:tc>
          <w:tcPr>
            <w:tcW w:w="1256" w:type="dxa"/>
          </w:tcPr>
          <w:p w:rsidR="0025591A" w:rsidRPr="00EE01B4" w:rsidRDefault="0025591A" w:rsidP="00B5352E">
            <w:pPr>
              <w:rPr>
                <w:rFonts w:cs="Arial"/>
                <w:sz w:val="20"/>
                <w:szCs w:val="20"/>
                <w:lang w:val="en-GB"/>
              </w:rPr>
            </w:pPr>
          </w:p>
        </w:tc>
        <w:tc>
          <w:tcPr>
            <w:tcW w:w="1288" w:type="dxa"/>
          </w:tcPr>
          <w:p w:rsidR="0025591A" w:rsidRPr="00EE01B4" w:rsidRDefault="0025591A" w:rsidP="00B5352E">
            <w:pPr>
              <w:rPr>
                <w:sz w:val="20"/>
                <w:szCs w:val="20"/>
                <w:lang w:val="fr-FR"/>
              </w:rPr>
            </w:pPr>
            <w:r w:rsidRPr="00EE01B4">
              <w:rPr>
                <w:sz w:val="20"/>
                <w:szCs w:val="20"/>
                <w:lang w:val="fr-FR"/>
              </w:rPr>
              <w:t>E</w:t>
            </w:r>
          </w:p>
        </w:tc>
        <w:tc>
          <w:tcPr>
            <w:tcW w:w="5259" w:type="dxa"/>
          </w:tcPr>
          <w:p w:rsidR="0025591A" w:rsidRPr="00EE01B4" w:rsidRDefault="0025591A" w:rsidP="00B5352E">
            <w:pPr>
              <w:spacing w:after="40"/>
              <w:rPr>
                <w:sz w:val="20"/>
                <w:szCs w:val="20"/>
                <w:lang w:val="fr-FR"/>
              </w:rPr>
            </w:pPr>
            <w:r w:rsidRPr="00EE01B4">
              <w:rPr>
                <w:sz w:val="20"/>
                <w:szCs w:val="20"/>
                <w:lang w:val="fr-FR"/>
              </w:rPr>
              <w:t>UICN</w:t>
            </w:r>
          </w:p>
        </w:tc>
      </w:tr>
      <w:tr w:rsidR="0025591A" w:rsidRPr="00EE01B4" w:rsidTr="0025591A">
        <w:tblPrEx>
          <w:tblBorders>
            <w:bottom w:val="single" w:sz="4" w:space="0" w:color="auto"/>
            <w:insideH w:val="single" w:sz="4" w:space="0" w:color="auto"/>
            <w:insideV w:val="single" w:sz="4" w:space="0" w:color="auto"/>
          </w:tblBorders>
        </w:tblPrEx>
        <w:tc>
          <w:tcPr>
            <w:tcW w:w="3033" w:type="dxa"/>
          </w:tcPr>
          <w:p w:rsidR="0025591A" w:rsidRPr="00EE01B4" w:rsidRDefault="00DF180B" w:rsidP="00B5352E">
            <w:pPr>
              <w:spacing w:after="40"/>
              <w:rPr>
                <w:color w:val="0000FF" w:themeColor="hyperlink"/>
                <w:sz w:val="20"/>
                <w:szCs w:val="20"/>
                <w:u w:val="single"/>
                <w:lang w:val="en-GB"/>
              </w:rPr>
            </w:pPr>
            <w:hyperlink r:id="rId106" w:history="1">
              <w:r w:rsidR="0025591A" w:rsidRPr="00EE01B4">
                <w:rPr>
                  <w:rStyle w:val="Hyperlink"/>
                  <w:sz w:val="20"/>
                  <w:szCs w:val="20"/>
                  <w:lang w:val="en-GB"/>
                </w:rPr>
                <w:t>An Integrated Wetland Assessment Toolkit: A guide to good practice</w:t>
              </w:r>
            </w:hyperlink>
            <w:r w:rsidR="0025591A" w:rsidRPr="00EE01B4">
              <w:rPr>
                <w:rStyle w:val="Hyperlink"/>
                <w:sz w:val="20"/>
                <w:szCs w:val="20"/>
                <w:lang w:val="en-GB"/>
              </w:rPr>
              <w:t xml:space="preserve"> </w:t>
            </w:r>
            <w:hyperlink r:id="rId107" w:history="1">
              <w:r w:rsidR="0025591A" w:rsidRPr="00EE01B4">
                <w:rPr>
                  <w:rStyle w:val="Hyperlink"/>
                  <w:sz w:val="20"/>
                  <w:szCs w:val="20"/>
                  <w:lang w:val="en-GB"/>
                </w:rPr>
                <w:t xml:space="preserve">+ Case study: An integrated assessment of the biodiversity, livelihood and economic value of wetlands in </w:t>
              </w:r>
              <w:proofErr w:type="spellStart"/>
              <w:r w:rsidR="0025591A" w:rsidRPr="00EE01B4">
                <w:rPr>
                  <w:rStyle w:val="Hyperlink"/>
                  <w:sz w:val="20"/>
                  <w:szCs w:val="20"/>
                  <w:lang w:val="en-GB"/>
                </w:rPr>
                <w:t>Mtanza-Msona</w:t>
              </w:r>
              <w:proofErr w:type="spellEnd"/>
              <w:r w:rsidR="0025591A" w:rsidRPr="00EE01B4">
                <w:rPr>
                  <w:rStyle w:val="Hyperlink"/>
                  <w:sz w:val="20"/>
                  <w:szCs w:val="20"/>
                  <w:lang w:val="en-GB"/>
                </w:rPr>
                <w:t xml:space="preserve"> village, Tanzania</w:t>
              </w:r>
            </w:hyperlink>
          </w:p>
        </w:tc>
        <w:tc>
          <w:tcPr>
            <w:tcW w:w="2164" w:type="dxa"/>
          </w:tcPr>
          <w:p w:rsidR="0025591A" w:rsidRPr="00EE01B4" w:rsidRDefault="0025591A" w:rsidP="00B5352E">
            <w:pPr>
              <w:rPr>
                <w:rFonts w:cs="Arial"/>
                <w:sz w:val="20"/>
                <w:szCs w:val="20"/>
                <w:lang w:val="en-GB"/>
              </w:rPr>
            </w:pPr>
          </w:p>
        </w:tc>
        <w:tc>
          <w:tcPr>
            <w:tcW w:w="2614" w:type="dxa"/>
          </w:tcPr>
          <w:p w:rsidR="0025591A" w:rsidRPr="00EE01B4" w:rsidRDefault="0025591A" w:rsidP="00B5352E">
            <w:pPr>
              <w:rPr>
                <w:rFonts w:cs="Arial"/>
                <w:sz w:val="20"/>
                <w:szCs w:val="20"/>
                <w:lang w:val="en-GB"/>
              </w:rPr>
            </w:pPr>
          </w:p>
        </w:tc>
        <w:tc>
          <w:tcPr>
            <w:tcW w:w="1256" w:type="dxa"/>
          </w:tcPr>
          <w:p w:rsidR="0025591A" w:rsidRPr="00EE01B4" w:rsidRDefault="0025591A" w:rsidP="00B5352E">
            <w:pPr>
              <w:rPr>
                <w:rFonts w:cs="Arial"/>
                <w:sz w:val="20"/>
                <w:szCs w:val="20"/>
                <w:lang w:val="en-GB"/>
              </w:rPr>
            </w:pPr>
          </w:p>
        </w:tc>
        <w:tc>
          <w:tcPr>
            <w:tcW w:w="1288" w:type="dxa"/>
          </w:tcPr>
          <w:p w:rsidR="0025591A" w:rsidRPr="00EE01B4" w:rsidRDefault="0025591A" w:rsidP="00B5352E">
            <w:pPr>
              <w:rPr>
                <w:rFonts w:cs="Arial"/>
                <w:sz w:val="20"/>
                <w:szCs w:val="20"/>
                <w:lang w:val="fr-FR"/>
              </w:rPr>
            </w:pPr>
            <w:r w:rsidRPr="00EE01B4">
              <w:rPr>
                <w:sz w:val="20"/>
                <w:szCs w:val="20"/>
                <w:lang w:val="fr-FR"/>
              </w:rPr>
              <w:t>E</w:t>
            </w:r>
          </w:p>
        </w:tc>
        <w:tc>
          <w:tcPr>
            <w:tcW w:w="5259" w:type="dxa"/>
          </w:tcPr>
          <w:p w:rsidR="0025591A" w:rsidRPr="00EE01B4" w:rsidRDefault="0025591A" w:rsidP="00B5352E">
            <w:pPr>
              <w:spacing w:after="40"/>
              <w:rPr>
                <w:sz w:val="20"/>
                <w:szCs w:val="20"/>
                <w:lang w:val="fr-FR"/>
              </w:rPr>
            </w:pPr>
            <w:r w:rsidRPr="00EE01B4">
              <w:rPr>
                <w:sz w:val="20"/>
                <w:szCs w:val="20"/>
                <w:lang w:val="fr-FR"/>
              </w:rPr>
              <w:t>UICN</w:t>
            </w:r>
          </w:p>
          <w:p w:rsidR="0025591A" w:rsidRPr="00EE01B4" w:rsidRDefault="0025591A" w:rsidP="00A07A1D">
            <w:pPr>
              <w:spacing w:after="40"/>
              <w:rPr>
                <w:sz w:val="20"/>
                <w:szCs w:val="20"/>
                <w:lang w:val="fr-FR"/>
              </w:rPr>
            </w:pPr>
            <w:r w:rsidRPr="00EE01B4">
              <w:rPr>
                <w:rFonts w:cs="Arial"/>
                <w:sz w:val="20"/>
                <w:szCs w:val="20"/>
                <w:u w:val="single"/>
                <w:lang w:val="fr-FR"/>
              </w:rPr>
              <w:t>Résumé</w:t>
            </w:r>
            <w:r w:rsidRPr="00EE01B4">
              <w:rPr>
                <w:rFonts w:cs="Arial"/>
                <w:sz w:val="20"/>
                <w:szCs w:val="20"/>
                <w:lang w:val="fr-FR"/>
              </w:rPr>
              <w:t> : Cet outil présente un processus d’évaluation intégrée et fournit un ensemble de méthodes pouvant être utilisées pour étudier les liens entre la biodiversité, l’économie et les moyens d’existence dans les zones humides, ainsi que pour identifier et traiter les conflits d’intérêt potentiels entre les objectifs de conservation et de développement. L’approche intégrée décrite permet aussi aux praticiens d’évaluer une zone humide du point de vue de la somme de ses valeurs pour la biodiversité, l’économie et les moyens d’existence. Elle met particulièrement l’accent sur le renforcement des approches favorables plus démunis en matière de gestion des zones humides.</w:t>
            </w:r>
          </w:p>
        </w:tc>
      </w:tr>
      <w:tr w:rsidR="0025591A" w:rsidRPr="00EE01B4" w:rsidTr="0025591A">
        <w:tblPrEx>
          <w:tblBorders>
            <w:bottom w:val="single" w:sz="4" w:space="0" w:color="auto"/>
            <w:insideH w:val="single" w:sz="4" w:space="0" w:color="auto"/>
            <w:insideV w:val="single" w:sz="4" w:space="0" w:color="auto"/>
          </w:tblBorders>
        </w:tblPrEx>
        <w:tc>
          <w:tcPr>
            <w:tcW w:w="3033" w:type="dxa"/>
          </w:tcPr>
          <w:p w:rsidR="0025591A" w:rsidRPr="00EE01B4" w:rsidRDefault="00DF180B" w:rsidP="00B5352E">
            <w:pPr>
              <w:spacing w:after="40"/>
              <w:rPr>
                <w:sz w:val="20"/>
                <w:szCs w:val="20"/>
                <w:lang w:val="fr-FR"/>
              </w:rPr>
            </w:pPr>
            <w:hyperlink r:id="rId108" w:history="1">
              <w:r w:rsidR="0025591A" w:rsidRPr="00EE01B4">
                <w:rPr>
                  <w:rStyle w:val="Hyperlink"/>
                  <w:sz w:val="20"/>
                  <w:szCs w:val="20"/>
                  <w:lang w:val="fr-FR"/>
                </w:rPr>
                <w:t>Valeur économique de la vallée du Sourou : une évaluation préliminaire</w:t>
              </w:r>
            </w:hyperlink>
          </w:p>
        </w:tc>
        <w:tc>
          <w:tcPr>
            <w:tcW w:w="2164" w:type="dxa"/>
          </w:tcPr>
          <w:p w:rsidR="0025591A" w:rsidRPr="00EE01B4" w:rsidRDefault="0025591A" w:rsidP="00B5352E">
            <w:pPr>
              <w:rPr>
                <w:rFonts w:cs="Arial"/>
                <w:sz w:val="20"/>
                <w:szCs w:val="20"/>
                <w:lang w:val="fr-FR"/>
              </w:rPr>
            </w:pPr>
          </w:p>
        </w:tc>
        <w:tc>
          <w:tcPr>
            <w:tcW w:w="2614" w:type="dxa"/>
          </w:tcPr>
          <w:p w:rsidR="0025591A" w:rsidRPr="00EE01B4" w:rsidRDefault="0025591A" w:rsidP="00B5352E">
            <w:pPr>
              <w:rPr>
                <w:rFonts w:cs="Arial"/>
                <w:sz w:val="20"/>
                <w:szCs w:val="20"/>
                <w:lang w:val="fr-FR"/>
              </w:rPr>
            </w:pPr>
          </w:p>
        </w:tc>
        <w:tc>
          <w:tcPr>
            <w:tcW w:w="1256" w:type="dxa"/>
          </w:tcPr>
          <w:p w:rsidR="0025591A" w:rsidRPr="00EE01B4" w:rsidRDefault="0025591A" w:rsidP="00B5352E">
            <w:pPr>
              <w:rPr>
                <w:rFonts w:cs="Arial"/>
                <w:sz w:val="20"/>
                <w:szCs w:val="20"/>
                <w:lang w:val="fr-FR"/>
              </w:rPr>
            </w:pPr>
          </w:p>
        </w:tc>
        <w:tc>
          <w:tcPr>
            <w:tcW w:w="1288" w:type="dxa"/>
          </w:tcPr>
          <w:p w:rsidR="0025591A" w:rsidRPr="00EE01B4" w:rsidRDefault="0025591A" w:rsidP="00B5352E">
            <w:pPr>
              <w:rPr>
                <w:rFonts w:cs="Arial"/>
                <w:sz w:val="20"/>
                <w:szCs w:val="20"/>
                <w:lang w:val="fr-FR"/>
              </w:rPr>
            </w:pPr>
            <w:r w:rsidRPr="00EE01B4">
              <w:rPr>
                <w:rFonts w:cs="Arial"/>
                <w:sz w:val="20"/>
                <w:szCs w:val="20"/>
                <w:lang w:val="fr-FR"/>
              </w:rPr>
              <w:t>F</w:t>
            </w:r>
          </w:p>
        </w:tc>
        <w:tc>
          <w:tcPr>
            <w:tcW w:w="5259" w:type="dxa"/>
          </w:tcPr>
          <w:p w:rsidR="0025591A" w:rsidRPr="00EE01B4" w:rsidRDefault="0025591A" w:rsidP="00B5352E">
            <w:pPr>
              <w:spacing w:after="40"/>
              <w:rPr>
                <w:sz w:val="20"/>
                <w:szCs w:val="20"/>
                <w:lang w:val="fr-FR"/>
              </w:rPr>
            </w:pPr>
            <w:r w:rsidRPr="00EE01B4">
              <w:rPr>
                <w:sz w:val="20"/>
                <w:szCs w:val="20"/>
                <w:lang w:val="fr-FR"/>
              </w:rPr>
              <w:t>UICN</w:t>
            </w:r>
          </w:p>
        </w:tc>
      </w:tr>
      <w:tr w:rsidR="0025591A" w:rsidRPr="00EE01B4" w:rsidTr="0025591A">
        <w:tblPrEx>
          <w:tblBorders>
            <w:bottom w:val="single" w:sz="4" w:space="0" w:color="auto"/>
            <w:insideH w:val="single" w:sz="4" w:space="0" w:color="auto"/>
            <w:insideV w:val="single" w:sz="4" w:space="0" w:color="auto"/>
          </w:tblBorders>
        </w:tblPrEx>
        <w:tc>
          <w:tcPr>
            <w:tcW w:w="3033" w:type="dxa"/>
          </w:tcPr>
          <w:p w:rsidR="0025591A" w:rsidRPr="00EE01B4" w:rsidRDefault="00DF180B" w:rsidP="00B5352E">
            <w:pPr>
              <w:spacing w:after="40"/>
              <w:rPr>
                <w:sz w:val="20"/>
                <w:szCs w:val="20"/>
                <w:lang w:val="es-ES"/>
              </w:rPr>
            </w:pPr>
            <w:hyperlink r:id="rId109" w:history="1">
              <w:r w:rsidR="0025591A" w:rsidRPr="00EE01B4">
                <w:rPr>
                  <w:rStyle w:val="Hyperlink"/>
                  <w:sz w:val="20"/>
                  <w:szCs w:val="20"/>
                  <w:lang w:val="es-ES"/>
                </w:rPr>
                <w:t>Diagnóstico de medios de vida y capitales de la comunidad de Humedales de Medio Queso, Los Chiles, Costa Rica</w:t>
              </w:r>
            </w:hyperlink>
          </w:p>
        </w:tc>
        <w:tc>
          <w:tcPr>
            <w:tcW w:w="2164" w:type="dxa"/>
          </w:tcPr>
          <w:p w:rsidR="0025591A" w:rsidRPr="00EE01B4" w:rsidRDefault="0025591A" w:rsidP="00B5352E">
            <w:pPr>
              <w:rPr>
                <w:rFonts w:cs="Arial"/>
                <w:sz w:val="20"/>
                <w:szCs w:val="20"/>
                <w:lang w:val="es-ES"/>
              </w:rPr>
            </w:pPr>
          </w:p>
        </w:tc>
        <w:tc>
          <w:tcPr>
            <w:tcW w:w="2614" w:type="dxa"/>
          </w:tcPr>
          <w:p w:rsidR="0025591A" w:rsidRPr="00EE01B4" w:rsidRDefault="0025591A" w:rsidP="00B5352E">
            <w:pPr>
              <w:rPr>
                <w:rFonts w:cs="Arial"/>
                <w:sz w:val="20"/>
                <w:szCs w:val="20"/>
                <w:lang w:val="es-ES"/>
              </w:rPr>
            </w:pPr>
          </w:p>
        </w:tc>
        <w:tc>
          <w:tcPr>
            <w:tcW w:w="1256" w:type="dxa"/>
          </w:tcPr>
          <w:p w:rsidR="0025591A" w:rsidRPr="00EE01B4" w:rsidRDefault="0025591A" w:rsidP="00B5352E">
            <w:pPr>
              <w:rPr>
                <w:rFonts w:cs="Arial"/>
                <w:sz w:val="20"/>
                <w:szCs w:val="20"/>
                <w:lang w:val="es-ES"/>
              </w:rPr>
            </w:pPr>
          </w:p>
        </w:tc>
        <w:tc>
          <w:tcPr>
            <w:tcW w:w="1288" w:type="dxa"/>
          </w:tcPr>
          <w:p w:rsidR="0025591A" w:rsidRPr="00EE01B4" w:rsidRDefault="0025591A" w:rsidP="00B5352E">
            <w:pPr>
              <w:rPr>
                <w:rFonts w:cs="Arial"/>
                <w:sz w:val="20"/>
                <w:szCs w:val="20"/>
                <w:lang w:val="fr-FR"/>
              </w:rPr>
            </w:pPr>
            <w:r w:rsidRPr="00EE01B4">
              <w:rPr>
                <w:rFonts w:cs="Arial"/>
                <w:sz w:val="20"/>
                <w:szCs w:val="20"/>
                <w:lang w:val="fr-FR"/>
              </w:rPr>
              <w:t>S</w:t>
            </w:r>
          </w:p>
        </w:tc>
        <w:tc>
          <w:tcPr>
            <w:tcW w:w="5259" w:type="dxa"/>
          </w:tcPr>
          <w:p w:rsidR="0025591A" w:rsidRPr="00EE01B4" w:rsidRDefault="0025591A" w:rsidP="00B5352E">
            <w:pPr>
              <w:spacing w:after="40"/>
              <w:rPr>
                <w:sz w:val="20"/>
                <w:szCs w:val="20"/>
                <w:lang w:val="fr-FR"/>
              </w:rPr>
            </w:pPr>
            <w:r w:rsidRPr="00EE01B4">
              <w:rPr>
                <w:sz w:val="20"/>
                <w:szCs w:val="20"/>
                <w:lang w:val="fr-FR"/>
              </w:rPr>
              <w:t>UICN</w:t>
            </w:r>
          </w:p>
        </w:tc>
      </w:tr>
      <w:tr w:rsidR="0025591A" w:rsidRPr="00EE01B4" w:rsidTr="0025591A">
        <w:tblPrEx>
          <w:tblBorders>
            <w:bottom w:val="single" w:sz="4" w:space="0" w:color="auto"/>
            <w:insideH w:val="single" w:sz="4" w:space="0" w:color="auto"/>
            <w:insideV w:val="single" w:sz="4" w:space="0" w:color="auto"/>
          </w:tblBorders>
        </w:tblPrEx>
        <w:tc>
          <w:tcPr>
            <w:tcW w:w="3033" w:type="dxa"/>
          </w:tcPr>
          <w:p w:rsidR="0025591A" w:rsidRPr="00EE01B4" w:rsidRDefault="00DF180B" w:rsidP="00B5352E">
            <w:pPr>
              <w:spacing w:after="40"/>
              <w:rPr>
                <w:color w:val="0000FF" w:themeColor="hyperlink"/>
                <w:sz w:val="20"/>
                <w:szCs w:val="20"/>
                <w:u w:val="single"/>
                <w:lang w:val="en-GB"/>
              </w:rPr>
            </w:pPr>
            <w:hyperlink r:id="rId110" w:history="1">
              <w:r w:rsidR="0025591A" w:rsidRPr="00EE01B4">
                <w:rPr>
                  <w:rStyle w:val="Hyperlink"/>
                  <w:sz w:val="20"/>
                  <w:szCs w:val="20"/>
                  <w:lang w:val="en-GB"/>
                </w:rPr>
                <w:t>Economic Valuation of Wetlands: A Guide For Policy Makers And Planners</w:t>
              </w:r>
            </w:hyperlink>
          </w:p>
        </w:tc>
        <w:tc>
          <w:tcPr>
            <w:tcW w:w="2164" w:type="dxa"/>
          </w:tcPr>
          <w:p w:rsidR="0025591A" w:rsidRPr="00EE01B4" w:rsidRDefault="0025591A" w:rsidP="00B5352E">
            <w:pPr>
              <w:rPr>
                <w:rFonts w:cs="Arial"/>
                <w:sz w:val="20"/>
                <w:szCs w:val="20"/>
                <w:lang w:val="en-GB"/>
              </w:rPr>
            </w:pPr>
          </w:p>
        </w:tc>
        <w:tc>
          <w:tcPr>
            <w:tcW w:w="2614" w:type="dxa"/>
          </w:tcPr>
          <w:p w:rsidR="0025591A" w:rsidRPr="00EE01B4" w:rsidRDefault="0025591A" w:rsidP="00B5352E">
            <w:pPr>
              <w:rPr>
                <w:rFonts w:cs="Arial"/>
                <w:sz w:val="20"/>
                <w:szCs w:val="20"/>
                <w:lang w:val="en-GB"/>
              </w:rPr>
            </w:pPr>
          </w:p>
        </w:tc>
        <w:tc>
          <w:tcPr>
            <w:tcW w:w="1256" w:type="dxa"/>
          </w:tcPr>
          <w:p w:rsidR="0025591A" w:rsidRPr="00EE01B4" w:rsidRDefault="0025591A" w:rsidP="00B5352E">
            <w:pPr>
              <w:rPr>
                <w:rFonts w:cs="Arial"/>
                <w:sz w:val="20"/>
                <w:szCs w:val="20"/>
                <w:lang w:val="en-GB"/>
              </w:rPr>
            </w:pPr>
          </w:p>
        </w:tc>
        <w:tc>
          <w:tcPr>
            <w:tcW w:w="1288" w:type="dxa"/>
          </w:tcPr>
          <w:p w:rsidR="0025591A" w:rsidRPr="00EE01B4" w:rsidRDefault="0025591A" w:rsidP="00B5352E">
            <w:pPr>
              <w:rPr>
                <w:rFonts w:cs="Arial"/>
                <w:sz w:val="20"/>
                <w:szCs w:val="20"/>
                <w:lang w:val="fr-FR"/>
              </w:rPr>
            </w:pPr>
            <w:r w:rsidRPr="00EE01B4">
              <w:rPr>
                <w:sz w:val="20"/>
                <w:szCs w:val="20"/>
                <w:lang w:val="fr-FR"/>
              </w:rPr>
              <w:t>EFS</w:t>
            </w:r>
          </w:p>
        </w:tc>
        <w:tc>
          <w:tcPr>
            <w:tcW w:w="5259" w:type="dxa"/>
          </w:tcPr>
          <w:p w:rsidR="0025591A" w:rsidRPr="00EE01B4" w:rsidRDefault="0025591A" w:rsidP="00B5352E">
            <w:pPr>
              <w:spacing w:after="40"/>
              <w:rPr>
                <w:sz w:val="20"/>
                <w:szCs w:val="20"/>
                <w:lang w:val="fr-FR"/>
              </w:rPr>
            </w:pPr>
            <w:r w:rsidRPr="00EE01B4">
              <w:rPr>
                <w:sz w:val="20"/>
                <w:szCs w:val="20"/>
                <w:lang w:val="fr-FR"/>
              </w:rPr>
              <w:t>Ramsar, UICN et autres depuis 1997</w:t>
            </w:r>
          </w:p>
          <w:p w:rsidR="0025591A" w:rsidRPr="00EE01B4" w:rsidRDefault="0025591A" w:rsidP="007D04BF">
            <w:pPr>
              <w:spacing w:after="40"/>
              <w:rPr>
                <w:sz w:val="20"/>
                <w:szCs w:val="20"/>
                <w:lang w:val="fr-FR"/>
              </w:rPr>
            </w:pPr>
            <w:r w:rsidRPr="00EE01B4">
              <w:rPr>
                <w:rFonts w:cs="Arial"/>
                <w:sz w:val="20"/>
                <w:szCs w:val="20"/>
                <w:u w:val="single"/>
                <w:lang w:val="fr-FR"/>
              </w:rPr>
              <w:t>Résumé</w:t>
            </w:r>
            <w:r w:rsidRPr="00EE01B4">
              <w:rPr>
                <w:rFonts w:cs="Arial"/>
                <w:sz w:val="20"/>
                <w:szCs w:val="20"/>
                <w:lang w:val="fr-FR"/>
              </w:rPr>
              <w:t xml:space="preserve"> : L’objectif de cet ouvrage est de fournir des orientations aux décideurs et planificateurs sur l’évaluation économique potentielle des zones humides et les moyens de mener de telles études d’évaluation… L’ouvrage fournit des détails sur différentes techniques et des exemples d’études d’évaluation des zones humides ainsi que des orientations sur la planification et la gestion d’une étude et l’intégration des résultats dans le cadre plus général de la prise de décisions. </w:t>
            </w:r>
          </w:p>
        </w:tc>
      </w:tr>
      <w:tr w:rsidR="0025591A" w:rsidRPr="00EE01B4" w:rsidTr="0025591A">
        <w:tblPrEx>
          <w:tblBorders>
            <w:bottom w:val="single" w:sz="4" w:space="0" w:color="auto"/>
            <w:insideH w:val="single" w:sz="4" w:space="0" w:color="auto"/>
            <w:insideV w:val="single" w:sz="4" w:space="0" w:color="auto"/>
          </w:tblBorders>
        </w:tblPrEx>
        <w:tc>
          <w:tcPr>
            <w:tcW w:w="3033" w:type="dxa"/>
          </w:tcPr>
          <w:p w:rsidR="0025591A" w:rsidRPr="00EE01B4" w:rsidRDefault="00DF180B" w:rsidP="00B5352E">
            <w:pPr>
              <w:rPr>
                <w:rFonts w:cs="Arial"/>
                <w:sz w:val="20"/>
                <w:szCs w:val="20"/>
                <w:lang w:val="en-GB"/>
              </w:rPr>
            </w:pPr>
            <w:hyperlink r:id="rId111" w:history="1">
              <w:r w:rsidR="0025591A" w:rsidRPr="00EE01B4">
                <w:rPr>
                  <w:rStyle w:val="Hyperlink"/>
                  <w:sz w:val="20"/>
                  <w:szCs w:val="20"/>
                  <w:lang w:val="en-GB"/>
                </w:rPr>
                <w:t>Working Wetlands: Classifying Wetland Potential for Agriculture</w:t>
              </w:r>
            </w:hyperlink>
          </w:p>
        </w:tc>
        <w:tc>
          <w:tcPr>
            <w:tcW w:w="2164" w:type="dxa"/>
          </w:tcPr>
          <w:p w:rsidR="0025591A" w:rsidRPr="00EE01B4" w:rsidRDefault="0025591A" w:rsidP="00B5352E">
            <w:pPr>
              <w:rPr>
                <w:rFonts w:cs="Arial"/>
                <w:sz w:val="20"/>
                <w:szCs w:val="20"/>
                <w:lang w:val="en-GB"/>
              </w:rPr>
            </w:pPr>
          </w:p>
        </w:tc>
        <w:tc>
          <w:tcPr>
            <w:tcW w:w="2614" w:type="dxa"/>
          </w:tcPr>
          <w:p w:rsidR="0025591A" w:rsidRPr="00EE01B4" w:rsidRDefault="0025591A" w:rsidP="00B5352E">
            <w:pPr>
              <w:rPr>
                <w:rFonts w:cs="Arial"/>
                <w:sz w:val="20"/>
                <w:szCs w:val="20"/>
                <w:lang w:val="en-GB"/>
              </w:rPr>
            </w:pPr>
          </w:p>
        </w:tc>
        <w:tc>
          <w:tcPr>
            <w:tcW w:w="1256" w:type="dxa"/>
          </w:tcPr>
          <w:p w:rsidR="0025591A" w:rsidRPr="00EE01B4" w:rsidRDefault="0025591A" w:rsidP="00B5352E">
            <w:pPr>
              <w:rPr>
                <w:rFonts w:cs="Arial"/>
                <w:sz w:val="20"/>
                <w:szCs w:val="20"/>
                <w:lang w:val="en-GB"/>
              </w:rPr>
            </w:pPr>
          </w:p>
        </w:tc>
        <w:tc>
          <w:tcPr>
            <w:tcW w:w="1288" w:type="dxa"/>
          </w:tcPr>
          <w:p w:rsidR="0025591A" w:rsidRPr="00EE01B4" w:rsidRDefault="0025591A" w:rsidP="00B5352E">
            <w:pPr>
              <w:rPr>
                <w:rFonts w:cs="Arial"/>
                <w:sz w:val="20"/>
                <w:szCs w:val="20"/>
                <w:lang w:val="fr-FR"/>
              </w:rPr>
            </w:pPr>
            <w:r w:rsidRPr="00EE01B4">
              <w:rPr>
                <w:rFonts w:cs="Arial"/>
                <w:sz w:val="20"/>
                <w:szCs w:val="20"/>
                <w:lang w:val="fr-FR"/>
              </w:rPr>
              <w:t>E</w:t>
            </w:r>
          </w:p>
        </w:tc>
        <w:tc>
          <w:tcPr>
            <w:tcW w:w="5259" w:type="dxa"/>
          </w:tcPr>
          <w:p w:rsidR="0025591A" w:rsidRPr="00EE01B4" w:rsidRDefault="0025591A" w:rsidP="00B5352E">
            <w:pPr>
              <w:spacing w:after="40"/>
              <w:rPr>
                <w:sz w:val="20"/>
                <w:szCs w:val="20"/>
                <w:lang w:val="fr-FR"/>
              </w:rPr>
            </w:pPr>
            <w:r w:rsidRPr="00EE01B4">
              <w:rPr>
                <w:sz w:val="20"/>
                <w:szCs w:val="20"/>
                <w:lang w:val="fr-FR"/>
              </w:rPr>
              <w:t>IWMI</w:t>
            </w:r>
          </w:p>
          <w:p w:rsidR="0025591A" w:rsidRPr="00EE01B4" w:rsidRDefault="0025591A" w:rsidP="00A07A1D">
            <w:pPr>
              <w:spacing w:after="40"/>
              <w:rPr>
                <w:sz w:val="20"/>
                <w:szCs w:val="20"/>
                <w:lang w:val="fr-FR"/>
              </w:rPr>
            </w:pPr>
            <w:r w:rsidRPr="00EE01B4">
              <w:rPr>
                <w:rFonts w:cs="Arial"/>
                <w:sz w:val="20"/>
                <w:szCs w:val="20"/>
                <w:u w:val="single"/>
                <w:lang w:val="fr-FR"/>
              </w:rPr>
              <w:t>Résumé</w:t>
            </w:r>
            <w:r w:rsidRPr="00EE01B4">
              <w:rPr>
                <w:rFonts w:cs="Arial"/>
                <w:sz w:val="20"/>
                <w:szCs w:val="20"/>
                <w:lang w:val="fr-FR"/>
              </w:rPr>
              <w:t> : Une méthode d’évaluation systématique et semi</w:t>
            </w:r>
            <w:r w:rsidRPr="00EE01B4">
              <w:rPr>
                <w:rFonts w:cs="Arial"/>
                <w:sz w:val="20"/>
                <w:szCs w:val="20"/>
                <w:lang w:val="fr-FR"/>
              </w:rPr>
              <w:noBreakHyphen/>
              <w:t xml:space="preserve">quantitative est présentée qui permet la classification du </w:t>
            </w:r>
            <w:r w:rsidRPr="00EE01B4">
              <w:rPr>
                <w:sz w:val="20"/>
                <w:szCs w:val="20"/>
                <w:lang w:val="fr-FR"/>
              </w:rPr>
              <w:t>‘</w:t>
            </w:r>
            <w:r w:rsidRPr="00EE01B4">
              <w:rPr>
                <w:rFonts w:cs="Arial"/>
                <w:sz w:val="20"/>
                <w:szCs w:val="20"/>
                <w:lang w:val="fr-FR"/>
              </w:rPr>
              <w:t>potentiel</w:t>
            </w:r>
            <w:r w:rsidRPr="00EE01B4">
              <w:rPr>
                <w:sz w:val="20"/>
                <w:szCs w:val="20"/>
                <w:lang w:val="fr-FR"/>
              </w:rPr>
              <w:t>’</w:t>
            </w:r>
            <w:r w:rsidRPr="00EE01B4">
              <w:rPr>
                <w:rFonts w:cs="Arial"/>
                <w:sz w:val="20"/>
                <w:szCs w:val="20"/>
                <w:lang w:val="fr-FR"/>
              </w:rPr>
              <w:t xml:space="preserve"> d’utilisation d’une zone humide </w:t>
            </w:r>
            <w:r w:rsidRPr="00EE01B4">
              <w:rPr>
                <w:sz w:val="20"/>
                <w:szCs w:val="20"/>
                <w:lang w:val="fr-FR"/>
              </w:rPr>
              <w:t xml:space="preserve">active pour des activités agricoles spécifiques. L’approche, qui repose sur le concept ‘d’utilisation rationnelle’, s’appuie sur une forme d’analyse multicritères intégrant des aspects biophysiques et socioéconomiques de l’utilisation des zones humides.  </w:t>
            </w:r>
          </w:p>
        </w:tc>
      </w:tr>
      <w:tr w:rsidR="0025591A" w:rsidRPr="00EE01B4" w:rsidTr="0025591A">
        <w:tblPrEx>
          <w:tblBorders>
            <w:bottom w:val="single" w:sz="4" w:space="0" w:color="auto"/>
            <w:insideH w:val="single" w:sz="4" w:space="0" w:color="auto"/>
            <w:insideV w:val="single" w:sz="4" w:space="0" w:color="auto"/>
          </w:tblBorders>
        </w:tblPrEx>
        <w:tc>
          <w:tcPr>
            <w:tcW w:w="3033" w:type="dxa"/>
          </w:tcPr>
          <w:p w:rsidR="0025591A" w:rsidRPr="00EE01B4" w:rsidRDefault="00DF180B" w:rsidP="00B5352E">
            <w:pPr>
              <w:spacing w:after="40"/>
              <w:rPr>
                <w:color w:val="0000FF" w:themeColor="hyperlink"/>
                <w:sz w:val="20"/>
                <w:szCs w:val="20"/>
                <w:u w:val="single"/>
                <w:lang w:val="en-GB"/>
              </w:rPr>
            </w:pPr>
            <w:hyperlink r:id="rId112" w:history="1">
              <w:r w:rsidR="0025591A" w:rsidRPr="00EE01B4">
                <w:rPr>
                  <w:rStyle w:val="Hyperlink"/>
                  <w:sz w:val="20"/>
                  <w:szCs w:val="20"/>
                  <w:lang w:val="en-GB"/>
                </w:rPr>
                <w:t>The Economics of Ecosystems and Biodiversity for Water and Wetlands</w:t>
              </w:r>
            </w:hyperlink>
          </w:p>
        </w:tc>
        <w:tc>
          <w:tcPr>
            <w:tcW w:w="2164" w:type="dxa"/>
          </w:tcPr>
          <w:p w:rsidR="0025591A" w:rsidRPr="00EE01B4" w:rsidRDefault="0025591A" w:rsidP="00B5352E">
            <w:pPr>
              <w:rPr>
                <w:rFonts w:cs="Arial"/>
                <w:sz w:val="20"/>
                <w:szCs w:val="20"/>
                <w:lang w:val="en-GB"/>
              </w:rPr>
            </w:pPr>
          </w:p>
        </w:tc>
        <w:tc>
          <w:tcPr>
            <w:tcW w:w="2614" w:type="dxa"/>
          </w:tcPr>
          <w:p w:rsidR="0025591A" w:rsidRPr="00EE01B4" w:rsidRDefault="0025591A" w:rsidP="00B5352E">
            <w:pPr>
              <w:rPr>
                <w:rFonts w:cs="Arial"/>
                <w:sz w:val="20"/>
                <w:szCs w:val="20"/>
                <w:lang w:val="en-GB"/>
              </w:rPr>
            </w:pPr>
          </w:p>
        </w:tc>
        <w:tc>
          <w:tcPr>
            <w:tcW w:w="1256" w:type="dxa"/>
          </w:tcPr>
          <w:p w:rsidR="0025591A" w:rsidRPr="00EE01B4" w:rsidRDefault="0025591A" w:rsidP="00B5352E">
            <w:pPr>
              <w:rPr>
                <w:rFonts w:cs="Arial"/>
                <w:sz w:val="20"/>
                <w:szCs w:val="20"/>
                <w:lang w:val="en-GB"/>
              </w:rPr>
            </w:pPr>
          </w:p>
        </w:tc>
        <w:tc>
          <w:tcPr>
            <w:tcW w:w="1288" w:type="dxa"/>
          </w:tcPr>
          <w:p w:rsidR="0025591A" w:rsidRPr="00EE01B4" w:rsidRDefault="0025591A" w:rsidP="002334BA">
            <w:pPr>
              <w:rPr>
                <w:rFonts w:cs="Arial"/>
                <w:sz w:val="20"/>
                <w:szCs w:val="20"/>
                <w:lang w:val="fr-FR"/>
              </w:rPr>
            </w:pPr>
            <w:r w:rsidRPr="00EE01B4">
              <w:rPr>
                <w:sz w:val="20"/>
                <w:szCs w:val="20"/>
                <w:lang w:val="fr-FR"/>
              </w:rPr>
              <w:t>E (résumé disponible en EFSRAC)</w:t>
            </w:r>
          </w:p>
        </w:tc>
        <w:tc>
          <w:tcPr>
            <w:tcW w:w="5259" w:type="dxa"/>
          </w:tcPr>
          <w:p w:rsidR="0025591A" w:rsidRPr="00EE01B4" w:rsidRDefault="0025591A" w:rsidP="00B5352E">
            <w:pPr>
              <w:spacing w:after="40"/>
              <w:rPr>
                <w:sz w:val="20"/>
                <w:szCs w:val="20"/>
                <w:lang w:val="fr-FR"/>
              </w:rPr>
            </w:pPr>
            <w:r w:rsidRPr="00EE01B4">
              <w:rPr>
                <w:sz w:val="20"/>
                <w:szCs w:val="20"/>
                <w:lang w:val="fr-FR"/>
              </w:rPr>
              <w:t>IEEP et Ramsar</w:t>
            </w:r>
          </w:p>
          <w:p w:rsidR="0025591A" w:rsidRPr="00EE01B4" w:rsidRDefault="0025591A" w:rsidP="002334BA">
            <w:pPr>
              <w:spacing w:after="40"/>
              <w:rPr>
                <w:sz w:val="20"/>
                <w:szCs w:val="20"/>
                <w:lang w:val="fr-FR"/>
              </w:rPr>
            </w:pPr>
            <w:r w:rsidRPr="00EE01B4">
              <w:rPr>
                <w:rFonts w:cs="Arial"/>
                <w:sz w:val="20"/>
                <w:szCs w:val="20"/>
                <w:u w:val="single"/>
                <w:lang w:val="fr-FR"/>
              </w:rPr>
              <w:t>Résumé</w:t>
            </w:r>
            <w:r w:rsidRPr="00EE01B4">
              <w:rPr>
                <w:rFonts w:cs="Arial"/>
                <w:sz w:val="20"/>
                <w:szCs w:val="20"/>
                <w:lang w:val="fr-FR"/>
              </w:rPr>
              <w:t xml:space="preserve"> : </w:t>
            </w:r>
            <w:r w:rsidRPr="00EE01B4">
              <w:rPr>
                <w:sz w:val="20"/>
                <w:szCs w:val="20"/>
                <w:lang w:val="fr-FR"/>
              </w:rPr>
              <w:t>TEEB pour l’eau et les zones humides a pour objet de montrer comment en reconnaissant, démontrant et comprenant les valeurs des services écosystémiques procurés par l’eau et les zones humides peuvent aboutir à une prise de décisions mieux informée, plus efficace et plus juste… Il porte sur les ‘valeurs’ des services écosystémiques fournis par l’eau et les zones humides, que l’on peut exprimer par de nombreuses manières et méthodes. . . Ce rapport a pour objet de soutenir une prise de décisions fondée sur des éléments de preuve en présentant toute une gamme de valeurs de services écosystémiques dans des contextes variables.</w:t>
            </w:r>
          </w:p>
        </w:tc>
      </w:tr>
      <w:tr w:rsidR="0025591A" w:rsidRPr="00EE01B4" w:rsidTr="0025591A">
        <w:tblPrEx>
          <w:tblBorders>
            <w:bottom w:val="single" w:sz="4" w:space="0" w:color="auto"/>
            <w:insideH w:val="single" w:sz="4" w:space="0" w:color="auto"/>
            <w:insideV w:val="single" w:sz="4" w:space="0" w:color="auto"/>
          </w:tblBorders>
        </w:tblPrEx>
        <w:tc>
          <w:tcPr>
            <w:tcW w:w="3033" w:type="dxa"/>
          </w:tcPr>
          <w:p w:rsidR="0025591A" w:rsidRPr="00EE01B4" w:rsidRDefault="00DF180B" w:rsidP="00B5352E">
            <w:pPr>
              <w:spacing w:after="40"/>
              <w:rPr>
                <w:color w:val="0000FF" w:themeColor="hyperlink"/>
                <w:sz w:val="20"/>
                <w:szCs w:val="20"/>
                <w:u w:val="single"/>
                <w:lang w:val="en-GB"/>
              </w:rPr>
            </w:pPr>
            <w:hyperlink r:id="rId113" w:history="1">
              <w:r w:rsidR="0025591A" w:rsidRPr="00EE01B4">
                <w:rPr>
                  <w:rStyle w:val="Hyperlink"/>
                  <w:sz w:val="20"/>
                  <w:szCs w:val="20"/>
                  <w:lang w:val="en-GB"/>
                </w:rPr>
                <w:t>Ecosystems and Human Well-Being: Wetlands and Water Synthesis</w:t>
              </w:r>
            </w:hyperlink>
          </w:p>
        </w:tc>
        <w:tc>
          <w:tcPr>
            <w:tcW w:w="2164" w:type="dxa"/>
          </w:tcPr>
          <w:p w:rsidR="0025591A" w:rsidRPr="00EE01B4" w:rsidRDefault="0025591A" w:rsidP="00B5352E">
            <w:pPr>
              <w:rPr>
                <w:rFonts w:cs="Arial"/>
                <w:sz w:val="20"/>
                <w:szCs w:val="20"/>
                <w:lang w:val="en-GB"/>
              </w:rPr>
            </w:pPr>
          </w:p>
        </w:tc>
        <w:tc>
          <w:tcPr>
            <w:tcW w:w="2614" w:type="dxa"/>
          </w:tcPr>
          <w:p w:rsidR="0025591A" w:rsidRPr="00EE01B4" w:rsidRDefault="0025591A" w:rsidP="00B5352E">
            <w:pPr>
              <w:rPr>
                <w:rFonts w:cs="Arial"/>
                <w:sz w:val="20"/>
                <w:szCs w:val="20"/>
                <w:lang w:val="en-GB"/>
              </w:rPr>
            </w:pPr>
          </w:p>
        </w:tc>
        <w:tc>
          <w:tcPr>
            <w:tcW w:w="1256" w:type="dxa"/>
          </w:tcPr>
          <w:p w:rsidR="0025591A" w:rsidRPr="00EE01B4" w:rsidRDefault="0025591A" w:rsidP="00B5352E">
            <w:pPr>
              <w:rPr>
                <w:rFonts w:cs="Arial"/>
                <w:sz w:val="20"/>
                <w:szCs w:val="20"/>
                <w:lang w:val="en-GB"/>
              </w:rPr>
            </w:pPr>
          </w:p>
        </w:tc>
        <w:tc>
          <w:tcPr>
            <w:tcW w:w="1288" w:type="dxa"/>
          </w:tcPr>
          <w:p w:rsidR="0025591A" w:rsidRPr="00EE01B4" w:rsidRDefault="0025591A" w:rsidP="00FB7D1C">
            <w:pPr>
              <w:rPr>
                <w:rFonts w:cs="Arial"/>
                <w:sz w:val="20"/>
                <w:szCs w:val="20"/>
                <w:lang w:val="fr-FR"/>
              </w:rPr>
            </w:pPr>
            <w:r w:rsidRPr="00EE01B4">
              <w:rPr>
                <w:sz w:val="20"/>
                <w:szCs w:val="20"/>
                <w:lang w:val="fr-FR"/>
              </w:rPr>
              <w:t>ES (et autres)</w:t>
            </w:r>
          </w:p>
        </w:tc>
        <w:tc>
          <w:tcPr>
            <w:tcW w:w="5259" w:type="dxa"/>
          </w:tcPr>
          <w:p w:rsidR="0025591A" w:rsidRPr="00EE01B4" w:rsidRDefault="0025591A" w:rsidP="00B5352E">
            <w:pPr>
              <w:spacing w:after="40"/>
              <w:rPr>
                <w:sz w:val="20"/>
                <w:szCs w:val="20"/>
                <w:lang w:val="fr-FR"/>
              </w:rPr>
            </w:pPr>
            <w:r w:rsidRPr="00EE01B4">
              <w:rPr>
                <w:sz w:val="20"/>
                <w:szCs w:val="20"/>
                <w:lang w:val="fr-FR"/>
              </w:rPr>
              <w:t>Évaluation des écosystèmes en début de millénaire</w:t>
            </w:r>
          </w:p>
          <w:p w:rsidR="0025591A" w:rsidRPr="00EE01B4" w:rsidRDefault="0025591A" w:rsidP="00795DBC">
            <w:pPr>
              <w:spacing w:after="40"/>
              <w:rPr>
                <w:sz w:val="20"/>
                <w:szCs w:val="20"/>
                <w:lang w:val="fr-FR"/>
              </w:rPr>
            </w:pPr>
            <w:r w:rsidRPr="00EE01B4">
              <w:rPr>
                <w:rFonts w:cs="Arial"/>
                <w:sz w:val="20"/>
                <w:szCs w:val="20"/>
                <w:u w:val="single"/>
                <w:lang w:val="fr-FR"/>
              </w:rPr>
              <w:t>Résumé</w:t>
            </w:r>
            <w:r w:rsidRPr="00EE01B4">
              <w:rPr>
                <w:rFonts w:cs="Arial"/>
                <w:sz w:val="20"/>
                <w:szCs w:val="20"/>
                <w:lang w:val="fr-FR"/>
              </w:rPr>
              <w:t xml:space="preserve"> : Ce rapport, synthétisant les conclusions de l’EM concernant les zones humides intérieures, côtières et marines </w:t>
            </w:r>
            <w:r w:rsidRPr="00EE01B4">
              <w:rPr>
                <w:rFonts w:cs="Arial"/>
                <w:sz w:val="20"/>
                <w:szCs w:val="20"/>
                <w:lang w:val="fr-FR"/>
              </w:rPr>
              <w:lastRenderedPageBreak/>
              <w:t xml:space="preserve">proches du rivage, est un produit clé de l’EM pour la Convention de Ramsar… La synthèse souligne le lien entre les zones humides et l’eau et nous aidera à fixer l’agenda futur de Ramsar… </w:t>
            </w:r>
            <w:r w:rsidRPr="00EE01B4">
              <w:rPr>
                <w:sz w:val="20"/>
                <w:szCs w:val="20"/>
                <w:lang w:val="fr-FR"/>
              </w:rPr>
              <w:t>L’Évaluation des écosystèmes en début de millénaire était un processus international d’une durée de quatre ans (2001–2005) conçu pour répondre aux besoins des décideurs en matière d’informations sur les liens entre les changements écosystémiques et le bien</w:t>
            </w:r>
            <w:r w:rsidRPr="00EE01B4">
              <w:rPr>
                <w:sz w:val="20"/>
                <w:szCs w:val="20"/>
                <w:lang w:val="fr-FR"/>
              </w:rPr>
              <w:noBreakHyphen/>
              <w:t>être humain. Elle est axée sur la manière dont les changements dans les écosystèmes et les services écosystémiques ont touché le bien</w:t>
            </w:r>
            <w:r w:rsidRPr="00EE01B4">
              <w:rPr>
                <w:sz w:val="20"/>
                <w:szCs w:val="20"/>
                <w:lang w:val="fr-FR"/>
              </w:rPr>
              <w:noBreakHyphen/>
              <w:t>être humain, la manière dont les changements dans les écosystèmes pourraient toucher les populations dans les décennies à venir et le type de réponses pouvant être adoptées aux niveaux local, national, régional ou mondial pour améliorer la gestion des écosystèmes et ainsi contribuer au bien</w:t>
            </w:r>
            <w:r w:rsidRPr="00EE01B4">
              <w:rPr>
                <w:sz w:val="20"/>
                <w:szCs w:val="20"/>
                <w:lang w:val="fr-FR"/>
              </w:rPr>
              <w:noBreakHyphen/>
              <w:t xml:space="preserve">être humain. </w:t>
            </w:r>
          </w:p>
        </w:tc>
      </w:tr>
      <w:tr w:rsidR="0025591A" w:rsidRPr="00EE01B4" w:rsidTr="0025591A">
        <w:tblPrEx>
          <w:tblBorders>
            <w:bottom w:val="single" w:sz="4" w:space="0" w:color="auto"/>
            <w:insideH w:val="single" w:sz="4" w:space="0" w:color="auto"/>
            <w:insideV w:val="single" w:sz="4" w:space="0" w:color="auto"/>
          </w:tblBorders>
        </w:tblPrEx>
        <w:tc>
          <w:tcPr>
            <w:tcW w:w="3033" w:type="dxa"/>
          </w:tcPr>
          <w:p w:rsidR="0025591A" w:rsidRPr="00EE01B4" w:rsidRDefault="00DF180B" w:rsidP="00B5352E">
            <w:pPr>
              <w:spacing w:after="40"/>
              <w:rPr>
                <w:color w:val="0000FF" w:themeColor="hyperlink"/>
                <w:sz w:val="20"/>
                <w:szCs w:val="20"/>
                <w:u w:val="single"/>
                <w:lang w:val="en-GB"/>
              </w:rPr>
            </w:pPr>
            <w:hyperlink r:id="rId114" w:history="1">
              <w:r w:rsidR="0025591A" w:rsidRPr="00EE01B4">
                <w:rPr>
                  <w:rStyle w:val="Hyperlink"/>
                  <w:sz w:val="20"/>
                  <w:szCs w:val="20"/>
                  <w:lang w:val="en-GB"/>
                </w:rPr>
                <w:t>Earth Economics Ecosystem Valuation Toolkit</w:t>
              </w:r>
            </w:hyperlink>
          </w:p>
        </w:tc>
        <w:tc>
          <w:tcPr>
            <w:tcW w:w="2164" w:type="dxa"/>
          </w:tcPr>
          <w:p w:rsidR="0025591A" w:rsidRPr="00EE01B4" w:rsidRDefault="0025591A" w:rsidP="00B5352E">
            <w:pPr>
              <w:rPr>
                <w:rFonts w:cs="Arial"/>
                <w:sz w:val="20"/>
                <w:szCs w:val="20"/>
                <w:lang w:val="en-GB"/>
              </w:rPr>
            </w:pPr>
          </w:p>
        </w:tc>
        <w:tc>
          <w:tcPr>
            <w:tcW w:w="2614" w:type="dxa"/>
          </w:tcPr>
          <w:p w:rsidR="0025591A" w:rsidRPr="00EE01B4" w:rsidRDefault="0025591A" w:rsidP="00B5352E">
            <w:pPr>
              <w:rPr>
                <w:rFonts w:cs="Arial"/>
                <w:sz w:val="20"/>
                <w:szCs w:val="20"/>
                <w:lang w:val="en-GB"/>
              </w:rPr>
            </w:pPr>
          </w:p>
        </w:tc>
        <w:tc>
          <w:tcPr>
            <w:tcW w:w="1256" w:type="dxa"/>
          </w:tcPr>
          <w:p w:rsidR="0025591A" w:rsidRPr="00EE01B4" w:rsidRDefault="0025591A" w:rsidP="00B5352E">
            <w:pPr>
              <w:rPr>
                <w:rFonts w:cs="Arial"/>
                <w:sz w:val="20"/>
                <w:szCs w:val="20"/>
                <w:lang w:val="en-GB"/>
              </w:rPr>
            </w:pPr>
          </w:p>
        </w:tc>
        <w:tc>
          <w:tcPr>
            <w:tcW w:w="1288" w:type="dxa"/>
          </w:tcPr>
          <w:p w:rsidR="0025591A" w:rsidRPr="00EE01B4" w:rsidRDefault="0025591A" w:rsidP="00B5352E">
            <w:pPr>
              <w:rPr>
                <w:rFonts w:cs="Arial"/>
                <w:sz w:val="20"/>
                <w:szCs w:val="20"/>
                <w:lang w:val="en-GB"/>
              </w:rPr>
            </w:pPr>
          </w:p>
        </w:tc>
        <w:tc>
          <w:tcPr>
            <w:tcW w:w="5259" w:type="dxa"/>
          </w:tcPr>
          <w:p w:rsidR="0025591A" w:rsidRPr="00EE01B4" w:rsidRDefault="0025591A" w:rsidP="00B5352E">
            <w:pPr>
              <w:spacing w:after="40"/>
              <w:rPr>
                <w:rStyle w:val="Hyperlink"/>
                <w:color w:val="auto"/>
                <w:sz w:val="20"/>
                <w:szCs w:val="20"/>
                <w:u w:val="none"/>
                <w:lang w:val="fr-FR"/>
              </w:rPr>
            </w:pPr>
            <w:r w:rsidRPr="00EE01B4">
              <w:rPr>
                <w:rStyle w:val="Hyperlink"/>
                <w:color w:val="auto"/>
                <w:sz w:val="20"/>
                <w:szCs w:val="20"/>
                <w:u w:val="none"/>
                <w:lang w:val="fr-FR"/>
              </w:rPr>
              <w:t>Certaines ressources ne sont pas encore disponibles</w:t>
            </w:r>
          </w:p>
          <w:p w:rsidR="0025591A" w:rsidRPr="00EE01B4" w:rsidRDefault="0025591A" w:rsidP="007D04BF">
            <w:pPr>
              <w:spacing w:after="40"/>
              <w:rPr>
                <w:sz w:val="20"/>
                <w:szCs w:val="20"/>
                <w:lang w:val="fr-FR"/>
              </w:rPr>
            </w:pPr>
            <w:r w:rsidRPr="00EE01B4">
              <w:rPr>
                <w:rFonts w:cs="Arial"/>
                <w:sz w:val="20"/>
                <w:szCs w:val="20"/>
                <w:u w:val="single"/>
                <w:lang w:val="fr-FR"/>
              </w:rPr>
              <w:t>Résumé</w:t>
            </w:r>
            <w:r w:rsidRPr="00EE01B4">
              <w:rPr>
                <w:rFonts w:cs="Arial"/>
                <w:sz w:val="20"/>
                <w:szCs w:val="20"/>
                <w:lang w:val="fr-FR"/>
              </w:rPr>
              <w:t> : L’</w:t>
            </w:r>
            <w:r w:rsidRPr="00EE01B4">
              <w:rPr>
                <w:sz w:val="20"/>
                <w:szCs w:val="20"/>
                <w:lang w:val="fr-FR"/>
              </w:rPr>
              <w:t>EVT cherche à accélérer l’adoption de l’évaluation des services écosystémiques en fournissant une base de données complète avec moteur de recherche en ligne sur les valeurs pour la nature et les outils pour calculer la valeur des atouts naturels. Ces résultats peuvent être utilisés par des planificateurs, des administrateurs de bassins versants, des propriétaires de forêts, des agences de ressources naturelles, des enseignants et des entreprises afin de communiquer la valeur jusque</w:t>
            </w:r>
            <w:r w:rsidRPr="00EE01B4">
              <w:rPr>
                <w:sz w:val="20"/>
                <w:szCs w:val="20"/>
                <w:lang w:val="fr-FR"/>
              </w:rPr>
              <w:noBreakHyphen/>
              <w:t>là non reconnue de ces atouts dont la conservation, la restauration et d’autres décisions concernant l’aménagement du territoire.</w:t>
            </w:r>
          </w:p>
        </w:tc>
      </w:tr>
      <w:tr w:rsidR="0025591A" w:rsidRPr="00EE01B4" w:rsidTr="0025591A">
        <w:tblPrEx>
          <w:tblBorders>
            <w:bottom w:val="single" w:sz="4" w:space="0" w:color="auto"/>
            <w:insideH w:val="single" w:sz="4" w:space="0" w:color="auto"/>
            <w:insideV w:val="single" w:sz="4" w:space="0" w:color="auto"/>
          </w:tblBorders>
        </w:tblPrEx>
        <w:tc>
          <w:tcPr>
            <w:tcW w:w="3033" w:type="dxa"/>
          </w:tcPr>
          <w:p w:rsidR="0025591A" w:rsidRPr="00EE01B4" w:rsidRDefault="00DF180B" w:rsidP="00B5352E">
            <w:pPr>
              <w:spacing w:after="40"/>
              <w:rPr>
                <w:color w:val="0000FF" w:themeColor="hyperlink"/>
                <w:sz w:val="20"/>
                <w:szCs w:val="20"/>
                <w:u w:val="single"/>
                <w:lang w:val="en-GB"/>
              </w:rPr>
            </w:pPr>
            <w:hyperlink r:id="rId115" w:history="1">
              <w:r w:rsidR="0025591A" w:rsidRPr="00EE01B4">
                <w:rPr>
                  <w:rStyle w:val="Hyperlink"/>
                  <w:sz w:val="20"/>
                  <w:szCs w:val="20"/>
                  <w:lang w:val="en-GB"/>
                </w:rPr>
                <w:t>Guidance Manual for the Valuation of Regulating Services</w:t>
              </w:r>
            </w:hyperlink>
          </w:p>
        </w:tc>
        <w:tc>
          <w:tcPr>
            <w:tcW w:w="2164" w:type="dxa"/>
          </w:tcPr>
          <w:p w:rsidR="0025591A" w:rsidRPr="00EE01B4" w:rsidRDefault="0025591A" w:rsidP="00B5352E">
            <w:pPr>
              <w:rPr>
                <w:rFonts w:cs="Arial"/>
                <w:sz w:val="20"/>
                <w:szCs w:val="20"/>
                <w:lang w:val="en-GB"/>
              </w:rPr>
            </w:pPr>
          </w:p>
        </w:tc>
        <w:tc>
          <w:tcPr>
            <w:tcW w:w="2614" w:type="dxa"/>
          </w:tcPr>
          <w:p w:rsidR="0025591A" w:rsidRPr="00EE01B4" w:rsidRDefault="0025591A" w:rsidP="00B5352E">
            <w:pPr>
              <w:rPr>
                <w:rFonts w:cs="Arial"/>
                <w:sz w:val="20"/>
                <w:szCs w:val="20"/>
                <w:lang w:val="en-GB"/>
              </w:rPr>
            </w:pPr>
          </w:p>
        </w:tc>
        <w:tc>
          <w:tcPr>
            <w:tcW w:w="1256" w:type="dxa"/>
          </w:tcPr>
          <w:p w:rsidR="0025591A" w:rsidRPr="00EE01B4" w:rsidRDefault="0025591A" w:rsidP="00B5352E">
            <w:pPr>
              <w:rPr>
                <w:rFonts w:cs="Arial"/>
                <w:sz w:val="20"/>
                <w:szCs w:val="20"/>
                <w:lang w:val="en-GB"/>
              </w:rPr>
            </w:pPr>
          </w:p>
        </w:tc>
        <w:tc>
          <w:tcPr>
            <w:tcW w:w="1288" w:type="dxa"/>
          </w:tcPr>
          <w:p w:rsidR="0025591A" w:rsidRPr="00EE01B4" w:rsidRDefault="0025591A" w:rsidP="00B5352E">
            <w:pPr>
              <w:rPr>
                <w:rFonts w:cs="Arial"/>
                <w:sz w:val="20"/>
                <w:szCs w:val="20"/>
                <w:lang w:val="fr-FR"/>
              </w:rPr>
            </w:pPr>
            <w:r w:rsidRPr="00EE01B4">
              <w:rPr>
                <w:rFonts w:cs="Arial"/>
                <w:sz w:val="20"/>
                <w:szCs w:val="20"/>
                <w:lang w:val="fr-FR"/>
              </w:rPr>
              <w:t>E</w:t>
            </w:r>
          </w:p>
        </w:tc>
        <w:tc>
          <w:tcPr>
            <w:tcW w:w="5259" w:type="dxa"/>
          </w:tcPr>
          <w:p w:rsidR="0025591A" w:rsidRPr="00EE01B4" w:rsidRDefault="0025591A" w:rsidP="00B5352E">
            <w:pPr>
              <w:spacing w:after="40"/>
              <w:rPr>
                <w:sz w:val="20"/>
                <w:szCs w:val="20"/>
                <w:lang w:val="fr-FR"/>
              </w:rPr>
            </w:pPr>
            <w:r w:rsidRPr="00EE01B4">
              <w:rPr>
                <w:sz w:val="20"/>
                <w:szCs w:val="20"/>
                <w:lang w:val="fr-FR"/>
              </w:rPr>
              <w:t>PNUE</w:t>
            </w:r>
          </w:p>
          <w:p w:rsidR="0025591A" w:rsidRPr="00EE01B4" w:rsidRDefault="0025591A" w:rsidP="00BF060E">
            <w:pPr>
              <w:spacing w:after="40"/>
              <w:rPr>
                <w:color w:val="0000FF" w:themeColor="hyperlink"/>
                <w:sz w:val="20"/>
                <w:szCs w:val="20"/>
                <w:lang w:val="fr-FR"/>
              </w:rPr>
            </w:pPr>
            <w:r w:rsidRPr="00EE01B4">
              <w:rPr>
                <w:rFonts w:cs="Arial"/>
                <w:sz w:val="20"/>
                <w:szCs w:val="20"/>
                <w:u w:val="single"/>
                <w:lang w:val="fr-FR"/>
              </w:rPr>
              <w:t>Résumé</w:t>
            </w:r>
            <w:r w:rsidRPr="00EE01B4">
              <w:rPr>
                <w:rFonts w:cs="Arial"/>
                <w:sz w:val="20"/>
                <w:szCs w:val="20"/>
                <w:lang w:val="fr-FR"/>
              </w:rPr>
              <w:t xml:space="preserve"> : Ce manuel s’adresse aux praticiens de l’économie environnementale. Son utilisation première devrait être de soutenir des outils pour estimer la valeur économique des services de régulation fournis par un écosystème particulier dans une région donnée et pour une période de temps précise. </w:t>
            </w:r>
          </w:p>
        </w:tc>
      </w:tr>
      <w:tr w:rsidR="0025591A" w:rsidRPr="00EE01B4" w:rsidTr="0025591A">
        <w:tblPrEx>
          <w:tblBorders>
            <w:bottom w:val="single" w:sz="4" w:space="0" w:color="auto"/>
            <w:insideH w:val="single" w:sz="4" w:space="0" w:color="auto"/>
            <w:insideV w:val="single" w:sz="4" w:space="0" w:color="auto"/>
          </w:tblBorders>
        </w:tblPrEx>
        <w:tc>
          <w:tcPr>
            <w:tcW w:w="3033" w:type="dxa"/>
          </w:tcPr>
          <w:p w:rsidR="0025591A" w:rsidRPr="00EE01B4" w:rsidRDefault="00DF180B" w:rsidP="00B5352E">
            <w:pPr>
              <w:rPr>
                <w:rFonts w:cs="Arial"/>
                <w:sz w:val="20"/>
                <w:szCs w:val="20"/>
                <w:lang w:val="en-GB"/>
              </w:rPr>
            </w:pPr>
            <w:hyperlink r:id="rId116" w:history="1">
              <w:r w:rsidR="0025591A" w:rsidRPr="00EE01B4">
                <w:rPr>
                  <w:rStyle w:val="Hyperlink"/>
                  <w:sz w:val="20"/>
                  <w:szCs w:val="20"/>
                  <w:lang w:val="en-GB"/>
                </w:rPr>
                <w:t>Manual on Value Transfer Methods for Ecosystem Services</w:t>
              </w:r>
            </w:hyperlink>
          </w:p>
        </w:tc>
        <w:tc>
          <w:tcPr>
            <w:tcW w:w="2164" w:type="dxa"/>
          </w:tcPr>
          <w:p w:rsidR="0025591A" w:rsidRPr="00EE01B4" w:rsidRDefault="0025591A" w:rsidP="00B5352E">
            <w:pPr>
              <w:rPr>
                <w:rFonts w:cs="Arial"/>
                <w:sz w:val="20"/>
                <w:szCs w:val="20"/>
                <w:lang w:val="en-GB"/>
              </w:rPr>
            </w:pPr>
          </w:p>
        </w:tc>
        <w:tc>
          <w:tcPr>
            <w:tcW w:w="2614" w:type="dxa"/>
          </w:tcPr>
          <w:p w:rsidR="0025591A" w:rsidRPr="00EE01B4" w:rsidRDefault="0025591A" w:rsidP="00B5352E">
            <w:pPr>
              <w:rPr>
                <w:rFonts w:cs="Arial"/>
                <w:sz w:val="20"/>
                <w:szCs w:val="20"/>
                <w:lang w:val="en-GB"/>
              </w:rPr>
            </w:pPr>
          </w:p>
        </w:tc>
        <w:tc>
          <w:tcPr>
            <w:tcW w:w="1256" w:type="dxa"/>
          </w:tcPr>
          <w:p w:rsidR="0025591A" w:rsidRPr="00EE01B4" w:rsidRDefault="0025591A" w:rsidP="00B5352E">
            <w:pPr>
              <w:rPr>
                <w:rFonts w:cs="Arial"/>
                <w:sz w:val="20"/>
                <w:szCs w:val="20"/>
                <w:lang w:val="en-GB"/>
              </w:rPr>
            </w:pPr>
          </w:p>
        </w:tc>
        <w:tc>
          <w:tcPr>
            <w:tcW w:w="1288" w:type="dxa"/>
          </w:tcPr>
          <w:p w:rsidR="0025591A" w:rsidRPr="00EE01B4" w:rsidRDefault="0025591A" w:rsidP="00B5352E">
            <w:pPr>
              <w:rPr>
                <w:rFonts w:cs="Arial"/>
                <w:sz w:val="20"/>
                <w:szCs w:val="20"/>
                <w:lang w:val="fr-FR"/>
              </w:rPr>
            </w:pPr>
            <w:r w:rsidRPr="00EE01B4">
              <w:rPr>
                <w:rFonts w:cs="Arial"/>
                <w:sz w:val="20"/>
                <w:szCs w:val="20"/>
                <w:lang w:val="fr-FR"/>
              </w:rPr>
              <w:t>E</w:t>
            </w:r>
          </w:p>
        </w:tc>
        <w:tc>
          <w:tcPr>
            <w:tcW w:w="5259" w:type="dxa"/>
          </w:tcPr>
          <w:p w:rsidR="0025591A" w:rsidRPr="00EE01B4" w:rsidRDefault="0025591A" w:rsidP="00B5352E">
            <w:pPr>
              <w:spacing w:after="40"/>
              <w:rPr>
                <w:sz w:val="20"/>
                <w:szCs w:val="20"/>
                <w:lang w:val="fr-FR"/>
              </w:rPr>
            </w:pPr>
            <w:r w:rsidRPr="00EE01B4">
              <w:rPr>
                <w:sz w:val="20"/>
                <w:szCs w:val="20"/>
                <w:lang w:val="fr-FR"/>
              </w:rPr>
              <w:t>PNUE</w:t>
            </w:r>
          </w:p>
          <w:p w:rsidR="0025591A" w:rsidRPr="00EE01B4" w:rsidRDefault="0025591A" w:rsidP="00795DBC">
            <w:pPr>
              <w:spacing w:after="40"/>
              <w:rPr>
                <w:sz w:val="20"/>
                <w:szCs w:val="20"/>
                <w:lang w:val="fr-FR"/>
              </w:rPr>
            </w:pPr>
            <w:r w:rsidRPr="00EE01B4">
              <w:rPr>
                <w:rFonts w:cs="Arial"/>
                <w:sz w:val="20"/>
                <w:szCs w:val="20"/>
                <w:u w:val="single"/>
                <w:lang w:val="fr-FR"/>
              </w:rPr>
              <w:t>Résumé</w:t>
            </w:r>
            <w:r w:rsidRPr="00EE01B4">
              <w:rPr>
                <w:rFonts w:cs="Arial"/>
                <w:sz w:val="20"/>
                <w:szCs w:val="20"/>
                <w:lang w:val="fr-FR"/>
              </w:rPr>
              <w:t xml:space="preserve"> : Le but de ce manuel d’orientation est de montrer </w:t>
            </w:r>
            <w:r w:rsidRPr="00EE01B4">
              <w:rPr>
                <w:rFonts w:cs="Arial"/>
                <w:sz w:val="20"/>
                <w:szCs w:val="20"/>
                <w:lang w:val="fr-FR"/>
              </w:rPr>
              <w:lastRenderedPageBreak/>
              <w:t xml:space="preserve">comment la valeur des services écosystémiques peut être estimée et intégrée dans la prise de décisions. </w:t>
            </w:r>
            <w:r w:rsidRPr="00EE01B4">
              <w:rPr>
                <w:sz w:val="20"/>
                <w:szCs w:val="20"/>
                <w:lang w:val="fr-FR"/>
              </w:rPr>
              <w:t xml:space="preserve">Plus précisément, il est conçu pour aider un large public d’administrateurs de la conservation, de fonctionnaires, d’administrateurs du secteur privé, d’ONG et de statisticiens à comprendre l’information disponible sur les valeurs des services écosystémiques et les moyens par lesquels cette information peut être transférée pour servir aux décisions qu’ils prennent. </w:t>
            </w:r>
          </w:p>
        </w:tc>
      </w:tr>
      <w:tr w:rsidR="0025591A" w:rsidRPr="00EE01B4" w:rsidTr="0025591A">
        <w:tblPrEx>
          <w:tblBorders>
            <w:bottom w:val="single" w:sz="4" w:space="0" w:color="auto"/>
            <w:insideH w:val="single" w:sz="4" w:space="0" w:color="auto"/>
            <w:insideV w:val="single" w:sz="4" w:space="0" w:color="auto"/>
          </w:tblBorders>
        </w:tblPrEx>
        <w:tc>
          <w:tcPr>
            <w:tcW w:w="3033" w:type="dxa"/>
          </w:tcPr>
          <w:p w:rsidR="0025591A" w:rsidRPr="00EE01B4" w:rsidRDefault="00DF180B" w:rsidP="00B5352E">
            <w:pPr>
              <w:spacing w:after="40"/>
              <w:rPr>
                <w:rStyle w:val="Hyperlink"/>
                <w:sz w:val="20"/>
                <w:szCs w:val="20"/>
                <w:lang w:val="en-GB"/>
              </w:rPr>
            </w:pPr>
            <w:hyperlink r:id="rId117" w:history="1">
              <w:r w:rsidR="0025591A" w:rsidRPr="00EE01B4">
                <w:rPr>
                  <w:rStyle w:val="Hyperlink"/>
                  <w:sz w:val="20"/>
                  <w:szCs w:val="20"/>
                  <w:lang w:val="en-GB"/>
                </w:rPr>
                <w:t>Literature Review of the Economic Value of Ecosystem Services that Wetlands Provide: Final Report prepared for the Department of Sustainability, Environment, Water, Population and Communities</w:t>
              </w:r>
            </w:hyperlink>
          </w:p>
          <w:p w:rsidR="0025591A" w:rsidRPr="00EE01B4" w:rsidRDefault="0025591A" w:rsidP="00B5352E">
            <w:pPr>
              <w:rPr>
                <w:rFonts w:cs="Arial"/>
                <w:sz w:val="20"/>
                <w:szCs w:val="20"/>
                <w:lang w:val="en-GB"/>
              </w:rPr>
            </w:pPr>
          </w:p>
        </w:tc>
        <w:tc>
          <w:tcPr>
            <w:tcW w:w="2164" w:type="dxa"/>
          </w:tcPr>
          <w:p w:rsidR="0025591A" w:rsidRPr="00EE01B4" w:rsidRDefault="0025591A" w:rsidP="00B5352E">
            <w:pPr>
              <w:rPr>
                <w:rFonts w:cs="Arial"/>
                <w:sz w:val="20"/>
                <w:szCs w:val="20"/>
                <w:lang w:val="en-GB"/>
              </w:rPr>
            </w:pPr>
          </w:p>
        </w:tc>
        <w:tc>
          <w:tcPr>
            <w:tcW w:w="2614" w:type="dxa"/>
          </w:tcPr>
          <w:p w:rsidR="0025591A" w:rsidRPr="00EE01B4" w:rsidRDefault="0025591A" w:rsidP="00B5352E">
            <w:pPr>
              <w:rPr>
                <w:rFonts w:cs="Arial"/>
                <w:sz w:val="20"/>
                <w:szCs w:val="20"/>
                <w:lang w:val="en-GB"/>
              </w:rPr>
            </w:pPr>
          </w:p>
        </w:tc>
        <w:tc>
          <w:tcPr>
            <w:tcW w:w="1256" w:type="dxa"/>
          </w:tcPr>
          <w:p w:rsidR="0025591A" w:rsidRPr="00EE01B4" w:rsidRDefault="0025591A" w:rsidP="00B5352E">
            <w:pPr>
              <w:rPr>
                <w:rFonts w:cs="Arial"/>
                <w:sz w:val="20"/>
                <w:szCs w:val="20"/>
                <w:lang w:val="en-GB"/>
              </w:rPr>
            </w:pPr>
          </w:p>
        </w:tc>
        <w:tc>
          <w:tcPr>
            <w:tcW w:w="1288" w:type="dxa"/>
          </w:tcPr>
          <w:p w:rsidR="0025591A" w:rsidRPr="00EE01B4" w:rsidRDefault="0025591A" w:rsidP="00B5352E">
            <w:pPr>
              <w:rPr>
                <w:rFonts w:cs="Arial"/>
                <w:sz w:val="20"/>
                <w:szCs w:val="20"/>
                <w:lang w:val="fr-FR"/>
              </w:rPr>
            </w:pPr>
            <w:r w:rsidRPr="00EE01B4">
              <w:rPr>
                <w:rFonts w:cs="Arial"/>
                <w:sz w:val="20"/>
                <w:szCs w:val="20"/>
                <w:lang w:val="fr-FR"/>
              </w:rPr>
              <w:t>E</w:t>
            </w:r>
          </w:p>
        </w:tc>
        <w:tc>
          <w:tcPr>
            <w:tcW w:w="5259" w:type="dxa"/>
          </w:tcPr>
          <w:p w:rsidR="0025591A" w:rsidRPr="00EE01B4" w:rsidRDefault="0025591A" w:rsidP="00B5352E">
            <w:pPr>
              <w:spacing w:after="40"/>
              <w:rPr>
                <w:sz w:val="20"/>
                <w:szCs w:val="20"/>
                <w:lang w:val="fr-FR"/>
              </w:rPr>
            </w:pPr>
            <w:r w:rsidRPr="00EE01B4">
              <w:rPr>
                <w:sz w:val="20"/>
                <w:szCs w:val="20"/>
                <w:lang w:val="fr-FR"/>
              </w:rPr>
              <w:t>Marsden Jacob Associates</w:t>
            </w:r>
          </w:p>
          <w:p w:rsidR="0025591A" w:rsidRPr="00EE01B4" w:rsidRDefault="0025591A" w:rsidP="00795DBC">
            <w:pPr>
              <w:spacing w:after="40"/>
              <w:rPr>
                <w:sz w:val="20"/>
                <w:szCs w:val="20"/>
                <w:lang w:val="fr-FR"/>
              </w:rPr>
            </w:pPr>
            <w:r w:rsidRPr="00EE01B4">
              <w:rPr>
                <w:rFonts w:cs="Arial"/>
                <w:sz w:val="20"/>
                <w:szCs w:val="20"/>
                <w:u w:val="single"/>
                <w:lang w:val="fr-FR"/>
              </w:rPr>
              <w:t>Résumé</w:t>
            </w:r>
            <w:r w:rsidRPr="00EE01B4">
              <w:rPr>
                <w:rFonts w:cs="Arial"/>
                <w:sz w:val="20"/>
                <w:szCs w:val="20"/>
                <w:lang w:val="fr-FR"/>
              </w:rPr>
              <w:t xml:space="preserve"> : Outre fournir une étude critique de la littérature sur les services écosystémiques et leur valorisation économique, cette étude apporte un avis aux décideurs de ce domaine sur l’utilisation des services écosystémiques et la valorisation de ces services dans les décisions de politique, de planification et d’investissement.  </w:t>
            </w:r>
          </w:p>
        </w:tc>
      </w:tr>
      <w:tr w:rsidR="0025591A" w:rsidRPr="00EE01B4" w:rsidTr="0025591A">
        <w:tblPrEx>
          <w:tblBorders>
            <w:bottom w:val="single" w:sz="4" w:space="0" w:color="auto"/>
            <w:insideH w:val="single" w:sz="4" w:space="0" w:color="auto"/>
            <w:insideV w:val="single" w:sz="4" w:space="0" w:color="auto"/>
          </w:tblBorders>
        </w:tblPrEx>
        <w:tc>
          <w:tcPr>
            <w:tcW w:w="3033" w:type="dxa"/>
          </w:tcPr>
          <w:p w:rsidR="0025591A" w:rsidRPr="00EE01B4" w:rsidRDefault="00DF180B" w:rsidP="00B5352E">
            <w:pPr>
              <w:spacing w:after="40"/>
              <w:rPr>
                <w:rStyle w:val="Hyperlink"/>
                <w:sz w:val="20"/>
                <w:szCs w:val="20"/>
                <w:lang w:val="en-GB"/>
              </w:rPr>
            </w:pPr>
            <w:hyperlink r:id="rId118" w:anchor="Contents" w:history="1">
              <w:r w:rsidR="0025591A" w:rsidRPr="00EE01B4">
                <w:rPr>
                  <w:rStyle w:val="Hyperlink"/>
                  <w:sz w:val="20"/>
                  <w:szCs w:val="20"/>
                  <w:lang w:val="en-GB"/>
                </w:rPr>
                <w:t>Economic valuation of water resources in agriculture: From the sectoral to a functional perspective of natural resource management</w:t>
              </w:r>
            </w:hyperlink>
          </w:p>
          <w:p w:rsidR="0025591A" w:rsidRPr="00EE01B4" w:rsidRDefault="0025591A" w:rsidP="00B5352E">
            <w:pPr>
              <w:rPr>
                <w:rFonts w:cs="Arial"/>
                <w:sz w:val="20"/>
                <w:szCs w:val="20"/>
                <w:lang w:val="en-GB"/>
              </w:rPr>
            </w:pPr>
          </w:p>
        </w:tc>
        <w:tc>
          <w:tcPr>
            <w:tcW w:w="2164" w:type="dxa"/>
          </w:tcPr>
          <w:p w:rsidR="0025591A" w:rsidRPr="00EE01B4" w:rsidRDefault="0025591A" w:rsidP="00B5352E">
            <w:pPr>
              <w:rPr>
                <w:rFonts w:cs="Arial"/>
                <w:sz w:val="20"/>
                <w:szCs w:val="20"/>
                <w:lang w:val="en-GB"/>
              </w:rPr>
            </w:pPr>
          </w:p>
        </w:tc>
        <w:tc>
          <w:tcPr>
            <w:tcW w:w="2614" w:type="dxa"/>
          </w:tcPr>
          <w:p w:rsidR="0025591A" w:rsidRPr="00EE01B4" w:rsidRDefault="0025591A" w:rsidP="00B5352E">
            <w:pPr>
              <w:rPr>
                <w:rFonts w:cs="Arial"/>
                <w:sz w:val="20"/>
                <w:szCs w:val="20"/>
                <w:lang w:val="en-GB"/>
              </w:rPr>
            </w:pPr>
          </w:p>
        </w:tc>
        <w:tc>
          <w:tcPr>
            <w:tcW w:w="1256" w:type="dxa"/>
          </w:tcPr>
          <w:p w:rsidR="0025591A" w:rsidRPr="00EE01B4" w:rsidRDefault="0025591A" w:rsidP="00B5352E">
            <w:pPr>
              <w:rPr>
                <w:rFonts w:cs="Arial"/>
                <w:sz w:val="20"/>
                <w:szCs w:val="20"/>
                <w:lang w:val="en-GB"/>
              </w:rPr>
            </w:pPr>
          </w:p>
        </w:tc>
        <w:tc>
          <w:tcPr>
            <w:tcW w:w="1288" w:type="dxa"/>
          </w:tcPr>
          <w:p w:rsidR="0025591A" w:rsidRPr="00EE01B4" w:rsidRDefault="0025591A" w:rsidP="00B5352E">
            <w:pPr>
              <w:rPr>
                <w:rFonts w:cs="Arial"/>
                <w:sz w:val="20"/>
                <w:szCs w:val="20"/>
                <w:lang w:val="fr-FR"/>
              </w:rPr>
            </w:pPr>
            <w:r w:rsidRPr="00EE01B4">
              <w:rPr>
                <w:rFonts w:cs="Arial"/>
                <w:sz w:val="20"/>
                <w:szCs w:val="20"/>
                <w:lang w:val="fr-FR"/>
              </w:rPr>
              <w:t>E</w:t>
            </w:r>
          </w:p>
        </w:tc>
        <w:tc>
          <w:tcPr>
            <w:tcW w:w="5259" w:type="dxa"/>
          </w:tcPr>
          <w:p w:rsidR="0025591A" w:rsidRPr="00EE01B4" w:rsidRDefault="0025591A" w:rsidP="00B5352E">
            <w:pPr>
              <w:spacing w:after="40"/>
              <w:rPr>
                <w:sz w:val="20"/>
                <w:szCs w:val="20"/>
                <w:lang w:val="fr-FR"/>
              </w:rPr>
            </w:pPr>
            <w:r w:rsidRPr="00EE01B4">
              <w:rPr>
                <w:sz w:val="20"/>
                <w:szCs w:val="20"/>
                <w:lang w:val="fr-FR"/>
              </w:rPr>
              <w:t>FAO, 2004</w:t>
            </w:r>
          </w:p>
          <w:p w:rsidR="0025591A" w:rsidRPr="00EE01B4" w:rsidRDefault="0025591A" w:rsidP="00ED0C99">
            <w:pPr>
              <w:spacing w:after="40"/>
              <w:rPr>
                <w:sz w:val="20"/>
                <w:szCs w:val="20"/>
                <w:lang w:val="fr-FR"/>
              </w:rPr>
            </w:pPr>
            <w:r w:rsidRPr="00EE01B4">
              <w:rPr>
                <w:rFonts w:cs="Arial"/>
                <w:sz w:val="20"/>
                <w:szCs w:val="20"/>
                <w:u w:val="single"/>
                <w:lang w:val="fr-FR"/>
              </w:rPr>
              <w:t>Résumé</w:t>
            </w:r>
            <w:r w:rsidRPr="00EE01B4">
              <w:rPr>
                <w:rFonts w:cs="Arial"/>
                <w:sz w:val="20"/>
                <w:szCs w:val="20"/>
                <w:lang w:val="fr-FR"/>
              </w:rPr>
              <w:t xml:space="preserve"> : Le but de ce rapport est de produire une étude des questions et techniques d’évaluation des ressources en eau pour apprécier et négocier les attributions de ressources brutes en eau (par opposition à en gros ou en détail) pour les projets de développement agricole. </w:t>
            </w:r>
            <w:r w:rsidRPr="00EE01B4">
              <w:rPr>
                <w:sz w:val="20"/>
                <w:szCs w:val="20"/>
                <w:lang w:val="fr-FR"/>
              </w:rPr>
              <w:t xml:space="preserve">L’étude examine l’eau brute dans les cours d’eau, lacs, zones humides, sols et aquifères naturels en adoptant le point de vue des fonctions écosystémiques à l’échelle du bassin versant et en tenant compte des demandes pour l’agriculture irriguée et pluviale. </w:t>
            </w:r>
          </w:p>
        </w:tc>
      </w:tr>
      <w:tr w:rsidR="0025591A" w:rsidRPr="00EE01B4" w:rsidTr="0025591A">
        <w:tblPrEx>
          <w:tblBorders>
            <w:bottom w:val="single" w:sz="4" w:space="0" w:color="auto"/>
            <w:insideH w:val="single" w:sz="4" w:space="0" w:color="auto"/>
            <w:insideV w:val="single" w:sz="4" w:space="0" w:color="auto"/>
          </w:tblBorders>
        </w:tblPrEx>
        <w:tc>
          <w:tcPr>
            <w:tcW w:w="3033" w:type="dxa"/>
          </w:tcPr>
          <w:p w:rsidR="0025591A" w:rsidRPr="00EE01B4" w:rsidRDefault="00DF180B" w:rsidP="00B5352E">
            <w:pPr>
              <w:spacing w:after="40"/>
              <w:rPr>
                <w:color w:val="0000FF" w:themeColor="hyperlink"/>
                <w:sz w:val="20"/>
                <w:szCs w:val="20"/>
                <w:u w:val="single"/>
                <w:lang w:val="en-GB"/>
              </w:rPr>
            </w:pPr>
            <w:hyperlink r:id="rId119" w:history="1">
              <w:r w:rsidR="0025591A" w:rsidRPr="00EE01B4">
                <w:rPr>
                  <w:rStyle w:val="Hyperlink"/>
                  <w:sz w:val="20"/>
                  <w:szCs w:val="20"/>
                  <w:lang w:val="en-GB"/>
                </w:rPr>
                <w:t>Biodiversity and Ecosystem Services Trends and Conditions Assessment Tool</w:t>
              </w:r>
            </w:hyperlink>
          </w:p>
        </w:tc>
        <w:tc>
          <w:tcPr>
            <w:tcW w:w="2164" w:type="dxa"/>
          </w:tcPr>
          <w:p w:rsidR="0025591A" w:rsidRPr="00EE01B4" w:rsidRDefault="0025591A" w:rsidP="00B5352E">
            <w:pPr>
              <w:rPr>
                <w:rFonts w:cs="Arial"/>
                <w:sz w:val="20"/>
                <w:szCs w:val="20"/>
                <w:lang w:val="en-GB"/>
              </w:rPr>
            </w:pPr>
          </w:p>
        </w:tc>
        <w:tc>
          <w:tcPr>
            <w:tcW w:w="2614" w:type="dxa"/>
          </w:tcPr>
          <w:p w:rsidR="0025591A" w:rsidRPr="00EE01B4" w:rsidRDefault="0025591A" w:rsidP="00B5352E">
            <w:pPr>
              <w:rPr>
                <w:rFonts w:cs="Arial"/>
                <w:sz w:val="20"/>
                <w:szCs w:val="20"/>
                <w:lang w:val="en-GB"/>
              </w:rPr>
            </w:pPr>
          </w:p>
        </w:tc>
        <w:tc>
          <w:tcPr>
            <w:tcW w:w="1256" w:type="dxa"/>
          </w:tcPr>
          <w:p w:rsidR="0025591A" w:rsidRPr="00EE01B4" w:rsidRDefault="0025591A" w:rsidP="00B5352E">
            <w:pPr>
              <w:rPr>
                <w:rFonts w:cs="Arial"/>
                <w:sz w:val="20"/>
                <w:szCs w:val="20"/>
                <w:lang w:val="en-GB"/>
              </w:rPr>
            </w:pPr>
          </w:p>
        </w:tc>
        <w:tc>
          <w:tcPr>
            <w:tcW w:w="1288" w:type="dxa"/>
          </w:tcPr>
          <w:p w:rsidR="0025591A" w:rsidRPr="00EE01B4" w:rsidRDefault="0025591A" w:rsidP="00B5352E">
            <w:pPr>
              <w:rPr>
                <w:rFonts w:cs="Arial"/>
                <w:sz w:val="20"/>
                <w:szCs w:val="20"/>
                <w:lang w:val="en-GB"/>
              </w:rPr>
            </w:pPr>
          </w:p>
        </w:tc>
        <w:tc>
          <w:tcPr>
            <w:tcW w:w="5259" w:type="dxa"/>
          </w:tcPr>
          <w:p w:rsidR="0025591A" w:rsidRPr="00EE01B4" w:rsidRDefault="0025591A" w:rsidP="00B5352E">
            <w:pPr>
              <w:spacing w:after="40"/>
              <w:rPr>
                <w:rStyle w:val="Hyperlink"/>
                <w:color w:val="auto"/>
                <w:sz w:val="20"/>
                <w:szCs w:val="20"/>
                <w:u w:val="none"/>
                <w:lang w:val="fr-FR"/>
              </w:rPr>
            </w:pPr>
            <w:r w:rsidRPr="00EE01B4">
              <w:rPr>
                <w:rStyle w:val="Hyperlink"/>
                <w:color w:val="auto"/>
                <w:sz w:val="20"/>
                <w:szCs w:val="20"/>
                <w:u w:val="none"/>
                <w:lang w:val="fr-FR"/>
              </w:rPr>
              <w:t xml:space="preserve">The Nature </w:t>
            </w:r>
            <w:proofErr w:type="spellStart"/>
            <w:r w:rsidRPr="00EE01B4">
              <w:rPr>
                <w:rStyle w:val="Hyperlink"/>
                <w:color w:val="auto"/>
                <w:sz w:val="20"/>
                <w:szCs w:val="20"/>
                <w:u w:val="none"/>
                <w:lang w:val="fr-FR"/>
              </w:rPr>
              <w:t>Conservancy</w:t>
            </w:r>
            <w:proofErr w:type="spellEnd"/>
          </w:p>
          <w:p w:rsidR="0025591A" w:rsidRPr="00EE01B4" w:rsidRDefault="0025591A" w:rsidP="0073584B">
            <w:pPr>
              <w:spacing w:after="40"/>
              <w:rPr>
                <w:sz w:val="20"/>
                <w:szCs w:val="20"/>
                <w:lang w:val="fr-FR"/>
              </w:rPr>
            </w:pPr>
            <w:r w:rsidRPr="00EE01B4">
              <w:rPr>
                <w:rFonts w:cs="Arial"/>
                <w:sz w:val="20"/>
                <w:szCs w:val="20"/>
                <w:u w:val="single"/>
                <w:lang w:val="fr-FR"/>
              </w:rPr>
              <w:t>Résumé</w:t>
            </w:r>
            <w:r w:rsidRPr="00EE01B4">
              <w:rPr>
                <w:rFonts w:cs="Arial"/>
                <w:sz w:val="20"/>
                <w:szCs w:val="20"/>
                <w:lang w:val="fr-FR"/>
              </w:rPr>
              <w:t xml:space="preserve"> : </w:t>
            </w:r>
            <w:proofErr w:type="spellStart"/>
            <w:r w:rsidRPr="00EE01B4">
              <w:rPr>
                <w:sz w:val="20"/>
                <w:szCs w:val="20"/>
                <w:lang w:val="fr-FR"/>
              </w:rPr>
              <w:t>BestCat</w:t>
            </w:r>
            <w:proofErr w:type="spellEnd"/>
            <w:r w:rsidRPr="00EE01B4">
              <w:rPr>
                <w:sz w:val="20"/>
                <w:szCs w:val="20"/>
                <w:lang w:val="fr-FR"/>
              </w:rPr>
              <w:t xml:space="preserve"> est une application de cartographie sur internet qui fournit aux entreprises la possibilité de comparer et de mettre en contraste les biens mondiaux d’après les valeurs et conditions des écosystèmes et de la biodiversité associée. Cette application efficace et facile à utiliser donne aux entreprises un ensemble de données préalable, soulignant la biodiversité et les risques pour les services écosystémiques, et identifie rapidement les zones critiques où s’impose une gestion des risques. L’analyse </w:t>
            </w:r>
            <w:proofErr w:type="spellStart"/>
            <w:r w:rsidRPr="00EE01B4">
              <w:rPr>
                <w:sz w:val="20"/>
                <w:szCs w:val="20"/>
                <w:lang w:val="fr-FR"/>
              </w:rPr>
              <w:t>BestCat</w:t>
            </w:r>
            <w:proofErr w:type="spellEnd"/>
            <w:r w:rsidRPr="00EE01B4">
              <w:rPr>
                <w:sz w:val="20"/>
                <w:szCs w:val="20"/>
                <w:lang w:val="fr-FR"/>
              </w:rPr>
              <w:t xml:space="preserve"> sert </w:t>
            </w:r>
            <w:r w:rsidRPr="00EE01B4">
              <w:rPr>
                <w:sz w:val="20"/>
                <w:szCs w:val="20"/>
                <w:lang w:val="fr-FR"/>
              </w:rPr>
              <w:lastRenderedPageBreak/>
              <w:t>de base à l’élaboration d’approches rentables d’atténuation des risques en identifiant les zones associées à des risques environnementaux potentiels.</w:t>
            </w:r>
          </w:p>
        </w:tc>
      </w:tr>
      <w:tr w:rsidR="0025591A" w:rsidRPr="00EE01B4" w:rsidTr="0025591A">
        <w:tblPrEx>
          <w:tblBorders>
            <w:bottom w:val="single" w:sz="4" w:space="0" w:color="auto"/>
            <w:insideH w:val="single" w:sz="4" w:space="0" w:color="auto"/>
            <w:insideV w:val="single" w:sz="4" w:space="0" w:color="auto"/>
          </w:tblBorders>
        </w:tblPrEx>
        <w:tc>
          <w:tcPr>
            <w:tcW w:w="3033" w:type="dxa"/>
          </w:tcPr>
          <w:p w:rsidR="0025591A" w:rsidRPr="00EE01B4" w:rsidRDefault="00DF180B" w:rsidP="00B5352E">
            <w:pPr>
              <w:spacing w:after="40"/>
              <w:rPr>
                <w:color w:val="0000FF" w:themeColor="hyperlink"/>
                <w:sz w:val="20"/>
                <w:szCs w:val="20"/>
                <w:u w:val="single"/>
                <w:lang w:val="en-GB"/>
              </w:rPr>
            </w:pPr>
            <w:hyperlink r:id="rId120" w:history="1">
              <w:r w:rsidR="0025591A" w:rsidRPr="00EE01B4">
                <w:rPr>
                  <w:rStyle w:val="Hyperlink"/>
                  <w:sz w:val="20"/>
                  <w:szCs w:val="20"/>
                  <w:lang w:val="en-GB"/>
                </w:rPr>
                <w:t>The IPBES Conceptual Framework – connecting nature and people</w:t>
              </w:r>
            </w:hyperlink>
          </w:p>
        </w:tc>
        <w:tc>
          <w:tcPr>
            <w:tcW w:w="2164" w:type="dxa"/>
          </w:tcPr>
          <w:p w:rsidR="0025591A" w:rsidRPr="00EE01B4" w:rsidRDefault="0025591A" w:rsidP="00B5352E">
            <w:pPr>
              <w:rPr>
                <w:rFonts w:cs="Arial"/>
                <w:sz w:val="20"/>
                <w:szCs w:val="20"/>
                <w:lang w:val="en-GB"/>
              </w:rPr>
            </w:pPr>
          </w:p>
        </w:tc>
        <w:tc>
          <w:tcPr>
            <w:tcW w:w="2614" w:type="dxa"/>
          </w:tcPr>
          <w:p w:rsidR="0025591A" w:rsidRPr="00EE01B4" w:rsidRDefault="0025591A" w:rsidP="00B5352E">
            <w:pPr>
              <w:rPr>
                <w:rFonts w:cs="Arial"/>
                <w:sz w:val="20"/>
                <w:szCs w:val="20"/>
                <w:lang w:val="en-GB"/>
              </w:rPr>
            </w:pPr>
          </w:p>
        </w:tc>
        <w:tc>
          <w:tcPr>
            <w:tcW w:w="1256" w:type="dxa"/>
          </w:tcPr>
          <w:p w:rsidR="0025591A" w:rsidRPr="00EE01B4" w:rsidRDefault="0025591A" w:rsidP="00B5352E">
            <w:pPr>
              <w:rPr>
                <w:rFonts w:cs="Arial"/>
                <w:sz w:val="20"/>
                <w:szCs w:val="20"/>
                <w:lang w:val="en-GB"/>
              </w:rPr>
            </w:pPr>
          </w:p>
        </w:tc>
        <w:tc>
          <w:tcPr>
            <w:tcW w:w="1288" w:type="dxa"/>
          </w:tcPr>
          <w:p w:rsidR="0025591A" w:rsidRPr="00EE01B4" w:rsidRDefault="0025591A" w:rsidP="00B5352E">
            <w:pPr>
              <w:rPr>
                <w:rFonts w:cs="Arial"/>
                <w:sz w:val="20"/>
                <w:szCs w:val="20"/>
                <w:lang w:val="fr-FR"/>
              </w:rPr>
            </w:pPr>
            <w:r w:rsidRPr="00EE01B4">
              <w:rPr>
                <w:rFonts w:cs="Arial"/>
                <w:sz w:val="20"/>
                <w:szCs w:val="20"/>
                <w:lang w:val="fr-FR"/>
              </w:rPr>
              <w:t>E</w:t>
            </w:r>
          </w:p>
        </w:tc>
        <w:tc>
          <w:tcPr>
            <w:tcW w:w="5259" w:type="dxa"/>
          </w:tcPr>
          <w:p w:rsidR="0025591A" w:rsidRPr="00EE01B4" w:rsidRDefault="0025591A" w:rsidP="00B5352E">
            <w:pPr>
              <w:spacing w:after="40"/>
              <w:rPr>
                <w:rStyle w:val="Hyperlink"/>
                <w:color w:val="auto"/>
                <w:sz w:val="20"/>
                <w:szCs w:val="20"/>
                <w:u w:val="none"/>
                <w:lang w:val="fr-FR"/>
              </w:rPr>
            </w:pPr>
            <w:r w:rsidRPr="00EE01B4">
              <w:rPr>
                <w:rStyle w:val="Hyperlink"/>
                <w:color w:val="auto"/>
                <w:sz w:val="20"/>
                <w:szCs w:val="20"/>
                <w:u w:val="none"/>
                <w:lang w:val="fr-FR"/>
              </w:rPr>
              <w:t>IPBES</w:t>
            </w:r>
          </w:p>
          <w:p w:rsidR="0025591A" w:rsidRPr="00EE01B4" w:rsidRDefault="0025591A" w:rsidP="00113533">
            <w:pPr>
              <w:spacing w:after="40"/>
              <w:rPr>
                <w:color w:val="0000FF" w:themeColor="hyperlink"/>
                <w:sz w:val="20"/>
                <w:szCs w:val="20"/>
                <w:lang w:val="fr-FR"/>
              </w:rPr>
            </w:pPr>
            <w:r w:rsidRPr="00EE01B4">
              <w:rPr>
                <w:rFonts w:cs="Arial"/>
                <w:sz w:val="20"/>
                <w:szCs w:val="20"/>
                <w:u w:val="single"/>
                <w:lang w:val="fr-FR"/>
              </w:rPr>
              <w:t>Résumé</w:t>
            </w:r>
            <w:r w:rsidRPr="00EE01B4">
              <w:rPr>
                <w:rFonts w:cs="Arial"/>
                <w:sz w:val="20"/>
                <w:szCs w:val="20"/>
                <w:lang w:val="fr-FR"/>
              </w:rPr>
              <w:t xml:space="preserve"> : Le premier produit public de la Plateforme intergouvernementale, scientifique et politique, sur la biodiversité et les services écosystémiques </w:t>
            </w:r>
            <w:r w:rsidRPr="00EE01B4">
              <w:rPr>
                <w:color w:val="000000" w:themeColor="text1"/>
                <w:sz w:val="20"/>
                <w:szCs w:val="20"/>
                <w:lang w:val="fr-FR"/>
              </w:rPr>
              <w:t>(IPBES) est son Cadre conceptuel. L’outil conceptuel et analytique présenté ici en détail sous</w:t>
            </w:r>
            <w:r w:rsidRPr="00EE01B4">
              <w:rPr>
                <w:color w:val="000000" w:themeColor="text1"/>
                <w:sz w:val="20"/>
                <w:szCs w:val="20"/>
                <w:lang w:val="fr-FR"/>
              </w:rPr>
              <w:noBreakHyphen/>
              <w:t xml:space="preserve">tendra toutes les fonctions de l’IPBES et fournira la structure et la comparabilité avec les synthèses que l’IPBES produira à différentes échelles spatiales, sur différents thèmes et dans différentes régions… Le Cadre conceptuel de l’IPBES est un modèle très simplifié des interactions complexes entre le monde naturel et les sociétés humaines les plus pertinentes pour l’objectif de l’IPBES. </w:t>
            </w:r>
          </w:p>
        </w:tc>
      </w:tr>
      <w:tr w:rsidR="0025591A" w:rsidRPr="00EE01B4" w:rsidTr="0025591A">
        <w:tblPrEx>
          <w:tblBorders>
            <w:bottom w:val="single" w:sz="4" w:space="0" w:color="auto"/>
            <w:insideH w:val="single" w:sz="4" w:space="0" w:color="auto"/>
            <w:insideV w:val="single" w:sz="4" w:space="0" w:color="auto"/>
          </w:tblBorders>
        </w:tblPrEx>
        <w:tc>
          <w:tcPr>
            <w:tcW w:w="3033" w:type="dxa"/>
          </w:tcPr>
          <w:p w:rsidR="0025591A" w:rsidRPr="00EE01B4" w:rsidRDefault="00DF180B" w:rsidP="00B5352E">
            <w:pPr>
              <w:spacing w:after="40"/>
              <w:rPr>
                <w:color w:val="0000FF" w:themeColor="hyperlink"/>
                <w:sz w:val="20"/>
                <w:szCs w:val="20"/>
                <w:u w:val="single"/>
                <w:lang w:val="en-GB"/>
              </w:rPr>
            </w:pPr>
            <w:hyperlink r:id="rId121" w:history="1">
              <w:r w:rsidR="0025591A" w:rsidRPr="00EE01B4">
                <w:rPr>
                  <w:rStyle w:val="Hyperlink"/>
                  <w:sz w:val="20"/>
                  <w:szCs w:val="20"/>
                  <w:lang w:val="en-GB"/>
                </w:rPr>
                <w:t>The Economics of Ecosystems and Biodiversity – Ecological and Economic Foundations</w:t>
              </w:r>
            </w:hyperlink>
          </w:p>
        </w:tc>
        <w:tc>
          <w:tcPr>
            <w:tcW w:w="2164" w:type="dxa"/>
          </w:tcPr>
          <w:p w:rsidR="0025591A" w:rsidRPr="00EE01B4" w:rsidRDefault="0025591A" w:rsidP="00B5352E">
            <w:pPr>
              <w:rPr>
                <w:rFonts w:cs="Arial"/>
                <w:sz w:val="20"/>
                <w:szCs w:val="20"/>
                <w:lang w:val="en-GB"/>
              </w:rPr>
            </w:pPr>
          </w:p>
        </w:tc>
        <w:tc>
          <w:tcPr>
            <w:tcW w:w="2614" w:type="dxa"/>
          </w:tcPr>
          <w:p w:rsidR="0025591A" w:rsidRPr="00EE01B4" w:rsidRDefault="0025591A" w:rsidP="00B5352E">
            <w:pPr>
              <w:rPr>
                <w:rFonts w:cs="Arial"/>
                <w:sz w:val="20"/>
                <w:szCs w:val="20"/>
                <w:lang w:val="en-GB"/>
              </w:rPr>
            </w:pPr>
          </w:p>
        </w:tc>
        <w:tc>
          <w:tcPr>
            <w:tcW w:w="1256" w:type="dxa"/>
          </w:tcPr>
          <w:p w:rsidR="0025591A" w:rsidRPr="00EE01B4" w:rsidRDefault="0025591A" w:rsidP="00B5352E">
            <w:pPr>
              <w:rPr>
                <w:rFonts w:cs="Arial"/>
                <w:sz w:val="20"/>
                <w:szCs w:val="20"/>
                <w:lang w:val="en-GB"/>
              </w:rPr>
            </w:pPr>
          </w:p>
        </w:tc>
        <w:tc>
          <w:tcPr>
            <w:tcW w:w="1288" w:type="dxa"/>
          </w:tcPr>
          <w:p w:rsidR="0025591A" w:rsidRPr="00EE01B4" w:rsidRDefault="0025591A" w:rsidP="00B5352E">
            <w:pPr>
              <w:rPr>
                <w:rFonts w:cs="Arial"/>
                <w:sz w:val="20"/>
                <w:szCs w:val="20"/>
                <w:lang w:val="fr-FR"/>
              </w:rPr>
            </w:pPr>
            <w:r w:rsidRPr="00EE01B4">
              <w:rPr>
                <w:rFonts w:cs="Arial"/>
                <w:sz w:val="20"/>
                <w:szCs w:val="20"/>
                <w:lang w:val="fr-FR"/>
              </w:rPr>
              <w:t>E</w:t>
            </w:r>
          </w:p>
        </w:tc>
        <w:tc>
          <w:tcPr>
            <w:tcW w:w="5259" w:type="dxa"/>
          </w:tcPr>
          <w:p w:rsidR="0025591A" w:rsidRPr="00EE01B4" w:rsidRDefault="0025591A" w:rsidP="00B5352E">
            <w:pPr>
              <w:spacing w:after="40"/>
              <w:rPr>
                <w:rStyle w:val="Hyperlink"/>
                <w:color w:val="auto"/>
                <w:sz w:val="20"/>
                <w:szCs w:val="20"/>
                <w:u w:val="none"/>
                <w:lang w:val="fr-FR"/>
              </w:rPr>
            </w:pPr>
            <w:r w:rsidRPr="00EE01B4">
              <w:rPr>
                <w:rStyle w:val="Hyperlink"/>
                <w:color w:val="auto"/>
                <w:sz w:val="20"/>
                <w:szCs w:val="20"/>
                <w:u w:val="none"/>
                <w:lang w:val="fr-FR"/>
              </w:rPr>
              <w:t>TEEB</w:t>
            </w:r>
          </w:p>
          <w:p w:rsidR="0025591A" w:rsidRPr="00EE01B4" w:rsidRDefault="0025591A" w:rsidP="00B5660B">
            <w:pPr>
              <w:spacing w:after="40"/>
              <w:rPr>
                <w:sz w:val="20"/>
                <w:szCs w:val="20"/>
                <w:lang w:val="fr-FR"/>
              </w:rPr>
            </w:pPr>
            <w:r w:rsidRPr="00EE01B4">
              <w:rPr>
                <w:rFonts w:cs="Arial"/>
                <w:sz w:val="20"/>
                <w:szCs w:val="20"/>
                <w:u w:val="single"/>
                <w:lang w:val="fr-FR"/>
              </w:rPr>
              <w:t>Résumé</w:t>
            </w:r>
            <w:r w:rsidRPr="00EE01B4">
              <w:rPr>
                <w:rFonts w:cs="Arial"/>
                <w:sz w:val="20"/>
                <w:szCs w:val="20"/>
                <w:lang w:val="fr-FR"/>
              </w:rPr>
              <w:t> : Le but des fondations écologiques et économiques TEEB est de fournir la fondation conceptuelle pour relier l’économie et l’écologie, souligner la relation entre la biodiversité et les services écosystémiques et montrer leur importance pour le bien</w:t>
            </w:r>
            <w:r w:rsidRPr="00EE01B4">
              <w:rPr>
                <w:rFonts w:cs="Arial"/>
                <w:sz w:val="20"/>
                <w:szCs w:val="20"/>
                <w:lang w:val="fr-FR"/>
              </w:rPr>
              <w:noBreakHyphen/>
              <w:t xml:space="preserve">être humain… Cet aspect de l’étude TEEB traite les </w:t>
            </w:r>
            <w:r w:rsidRPr="00EE01B4">
              <w:rPr>
                <w:sz w:val="20"/>
                <w:szCs w:val="20"/>
                <w:lang w:val="fr-FR"/>
              </w:rPr>
              <w:t xml:space="preserve">difficultés d’évaluer les services écosystémiques ainsi que les questions relatives à l’actualisation économique. Elle a pour objet de quantifier les coûts de l’inaction et d’examiner la dimension macroéconomique de la perte des services écosystémiques… TEEB – Fondations écologiques et économiques est l’étude la plus complète de la pensée existante dans ce domaine à ce jour, et le processus rassemble des scientifiques et des économistes pour fournir l’analyse et les outils requis afin que nous puissions créer un cadre méthodologique robuste permettant aux décideurs, à différents niveaux, d’entreprendre une analyse économique des services écosystémiques et de la biodiversité. </w:t>
            </w:r>
          </w:p>
        </w:tc>
      </w:tr>
      <w:tr w:rsidR="0025591A" w:rsidRPr="00DF180B" w:rsidTr="0025591A">
        <w:tblPrEx>
          <w:tblBorders>
            <w:bottom w:val="single" w:sz="4" w:space="0" w:color="auto"/>
            <w:insideH w:val="single" w:sz="4" w:space="0" w:color="auto"/>
            <w:insideV w:val="single" w:sz="4" w:space="0" w:color="auto"/>
          </w:tblBorders>
        </w:tblPrEx>
        <w:tc>
          <w:tcPr>
            <w:tcW w:w="3033" w:type="dxa"/>
          </w:tcPr>
          <w:p w:rsidR="0025591A" w:rsidRPr="00EE01B4" w:rsidRDefault="00DF180B" w:rsidP="00B5352E">
            <w:pPr>
              <w:spacing w:after="40"/>
              <w:rPr>
                <w:sz w:val="20"/>
                <w:szCs w:val="20"/>
                <w:lang w:val="en-GB"/>
              </w:rPr>
            </w:pPr>
            <w:hyperlink r:id="rId122" w:history="1">
              <w:r w:rsidR="0025591A" w:rsidRPr="00EE01B4">
                <w:rPr>
                  <w:rStyle w:val="Hyperlink"/>
                  <w:sz w:val="20"/>
                  <w:szCs w:val="20"/>
                  <w:lang w:val="en-GB"/>
                </w:rPr>
                <w:t>Literature Review of the Economic Value of Ecosystem Services that Wetlands Provide</w:t>
              </w:r>
            </w:hyperlink>
          </w:p>
        </w:tc>
        <w:tc>
          <w:tcPr>
            <w:tcW w:w="2164" w:type="dxa"/>
          </w:tcPr>
          <w:p w:rsidR="0025591A" w:rsidRPr="00EE01B4" w:rsidRDefault="0025591A" w:rsidP="00B5352E">
            <w:pPr>
              <w:rPr>
                <w:rFonts w:cs="Arial"/>
                <w:sz w:val="20"/>
                <w:szCs w:val="20"/>
                <w:lang w:val="en-GB"/>
              </w:rPr>
            </w:pPr>
          </w:p>
        </w:tc>
        <w:tc>
          <w:tcPr>
            <w:tcW w:w="2614" w:type="dxa"/>
          </w:tcPr>
          <w:p w:rsidR="0025591A" w:rsidRPr="00EE01B4" w:rsidRDefault="0025591A" w:rsidP="00B5352E">
            <w:pPr>
              <w:rPr>
                <w:rFonts w:cs="Arial"/>
                <w:sz w:val="20"/>
                <w:szCs w:val="20"/>
                <w:lang w:val="en-GB"/>
              </w:rPr>
            </w:pPr>
          </w:p>
        </w:tc>
        <w:tc>
          <w:tcPr>
            <w:tcW w:w="1256" w:type="dxa"/>
          </w:tcPr>
          <w:p w:rsidR="0025591A" w:rsidRPr="00EE01B4" w:rsidRDefault="0025591A" w:rsidP="00B5352E">
            <w:pPr>
              <w:rPr>
                <w:rFonts w:cs="Arial"/>
                <w:sz w:val="20"/>
                <w:szCs w:val="20"/>
                <w:lang w:val="en-GB"/>
              </w:rPr>
            </w:pPr>
          </w:p>
        </w:tc>
        <w:tc>
          <w:tcPr>
            <w:tcW w:w="1288" w:type="dxa"/>
          </w:tcPr>
          <w:p w:rsidR="0025591A" w:rsidRPr="00EE01B4" w:rsidRDefault="0025591A" w:rsidP="00B5352E">
            <w:pPr>
              <w:rPr>
                <w:rFonts w:cs="Arial"/>
                <w:sz w:val="20"/>
                <w:szCs w:val="20"/>
                <w:lang w:val="en-GB"/>
              </w:rPr>
            </w:pPr>
            <w:r w:rsidRPr="00EE01B4">
              <w:rPr>
                <w:rFonts w:cs="Arial"/>
                <w:sz w:val="20"/>
                <w:szCs w:val="20"/>
                <w:lang w:val="en-GB"/>
              </w:rPr>
              <w:t>E</w:t>
            </w:r>
          </w:p>
        </w:tc>
        <w:tc>
          <w:tcPr>
            <w:tcW w:w="5259" w:type="dxa"/>
          </w:tcPr>
          <w:p w:rsidR="0025591A" w:rsidRPr="00EE01B4" w:rsidRDefault="0025591A" w:rsidP="00BB04E7">
            <w:pPr>
              <w:spacing w:after="40"/>
              <w:rPr>
                <w:sz w:val="20"/>
                <w:szCs w:val="20"/>
                <w:lang w:val="en-GB"/>
              </w:rPr>
            </w:pPr>
            <w:r w:rsidRPr="00EE01B4">
              <w:rPr>
                <w:sz w:val="20"/>
                <w:szCs w:val="20"/>
                <w:lang w:val="en-GB"/>
              </w:rPr>
              <w:t>Department of Sustainability, Environment, Water, Population and Communities of Australia</w:t>
            </w:r>
          </w:p>
          <w:p w:rsidR="0025591A" w:rsidRPr="00EE01B4" w:rsidRDefault="0025591A" w:rsidP="00B5352E">
            <w:pPr>
              <w:spacing w:after="40"/>
              <w:rPr>
                <w:rStyle w:val="Hyperlink"/>
                <w:color w:val="auto"/>
                <w:sz w:val="20"/>
                <w:szCs w:val="20"/>
                <w:u w:val="none"/>
                <w:lang w:val="en-GB"/>
              </w:rPr>
            </w:pPr>
          </w:p>
          <w:p w:rsidR="0025591A" w:rsidRPr="00EE01B4" w:rsidRDefault="0025591A" w:rsidP="00B5352E">
            <w:pPr>
              <w:spacing w:after="40"/>
              <w:rPr>
                <w:rStyle w:val="Hyperlink"/>
                <w:color w:val="auto"/>
                <w:sz w:val="20"/>
                <w:szCs w:val="20"/>
                <w:u w:val="none"/>
                <w:lang w:val="en-GB"/>
              </w:rPr>
            </w:pPr>
            <w:r w:rsidRPr="00EE01B4">
              <w:rPr>
                <w:rStyle w:val="Hyperlink"/>
                <w:color w:val="auto"/>
                <w:sz w:val="20"/>
                <w:szCs w:val="20"/>
                <w:u w:val="none"/>
                <w:lang w:val="en-GB"/>
              </w:rPr>
              <w:lastRenderedPageBreak/>
              <w:t>This report outlines the various valuation techniques that could potentially be used for valuing ecosystem services. It also identifies a number of knowledge gaps and deficiencies in the methodology of the current valuation techniques that are available.</w:t>
            </w:r>
          </w:p>
        </w:tc>
      </w:tr>
    </w:tbl>
    <w:p w:rsidR="00E26A7E" w:rsidRPr="00EE01B4" w:rsidRDefault="00E26A7E" w:rsidP="00B5352E">
      <w:pPr>
        <w:spacing w:after="0" w:line="240" w:lineRule="auto"/>
        <w:rPr>
          <w:rFonts w:cs="Arial"/>
          <w:lang w:val="en-GB"/>
        </w:rPr>
      </w:pPr>
    </w:p>
    <w:p w:rsidR="00E26A7E" w:rsidRPr="00EE01B4" w:rsidRDefault="00E26A7E" w:rsidP="00B5352E">
      <w:pPr>
        <w:spacing w:after="0" w:line="240" w:lineRule="auto"/>
        <w:rPr>
          <w:rFonts w:cs="Arial"/>
          <w:lang w:val="en-GB"/>
        </w:rPr>
      </w:pPr>
    </w:p>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3053"/>
        <w:gridCol w:w="2168"/>
        <w:gridCol w:w="2582"/>
        <w:gridCol w:w="1259"/>
        <w:gridCol w:w="1259"/>
        <w:gridCol w:w="5293"/>
      </w:tblGrid>
      <w:tr w:rsidR="008B31F7" w:rsidRPr="00EE01B4" w:rsidTr="009D62D8">
        <w:tc>
          <w:tcPr>
            <w:tcW w:w="15614" w:type="dxa"/>
            <w:gridSpan w:val="6"/>
            <w:shd w:val="clear" w:color="auto" w:fill="FBD4B4" w:themeFill="accent6" w:themeFillTint="66"/>
          </w:tcPr>
          <w:p w:rsidR="008B31F7" w:rsidRPr="00EE01B4" w:rsidRDefault="0025591A" w:rsidP="009E2D28">
            <w:pPr>
              <w:jc w:val="center"/>
              <w:rPr>
                <w:rFonts w:cs="Arial"/>
                <w:b/>
                <w:sz w:val="20"/>
                <w:szCs w:val="20"/>
                <w:lang w:val="fr-FR"/>
              </w:rPr>
            </w:pPr>
            <w:r w:rsidRPr="00EE01B4">
              <w:rPr>
                <w:rFonts w:cs="Arial"/>
                <w:b/>
                <w:sz w:val="20"/>
                <w:szCs w:val="20"/>
                <w:lang w:val="fr-CH"/>
              </w:rPr>
              <w:t xml:space="preserve">Domaine de travail thématique no 4 : </w:t>
            </w:r>
            <w:r w:rsidRPr="00EE01B4">
              <w:rPr>
                <w:b/>
                <w:sz w:val="20"/>
                <w:szCs w:val="20"/>
              </w:rPr>
              <w:t>Promotion de la conservation des zones humides au sein de cadres de développement durable et autres initiatives pertinentes de développement</w:t>
            </w:r>
          </w:p>
        </w:tc>
      </w:tr>
      <w:tr w:rsidR="008B31F7" w:rsidRPr="00EE01B4" w:rsidTr="009D62D8">
        <w:tblPrEx>
          <w:tblBorders>
            <w:bottom w:val="single" w:sz="4" w:space="0" w:color="auto"/>
            <w:insideH w:val="single" w:sz="4" w:space="0" w:color="auto"/>
            <w:insideV w:val="single" w:sz="4" w:space="0" w:color="auto"/>
          </w:tblBorders>
        </w:tblPrEx>
        <w:tc>
          <w:tcPr>
            <w:tcW w:w="3053" w:type="dxa"/>
            <w:shd w:val="clear" w:color="auto" w:fill="FBD4B4" w:themeFill="accent6" w:themeFillTint="66"/>
          </w:tcPr>
          <w:p w:rsidR="008B31F7" w:rsidRPr="00EE01B4" w:rsidRDefault="004D1A4F" w:rsidP="003207C6">
            <w:pPr>
              <w:jc w:val="center"/>
              <w:rPr>
                <w:rFonts w:cs="Arial"/>
                <w:b/>
                <w:sz w:val="20"/>
                <w:szCs w:val="20"/>
                <w:lang w:val="fr-FR"/>
              </w:rPr>
            </w:pPr>
            <w:r w:rsidRPr="00EE01B4">
              <w:rPr>
                <w:rFonts w:cs="Arial"/>
                <w:b/>
                <w:sz w:val="20"/>
                <w:szCs w:val="20"/>
                <w:lang w:val="fr-FR"/>
              </w:rPr>
              <w:t>Titre</w:t>
            </w:r>
          </w:p>
        </w:tc>
        <w:tc>
          <w:tcPr>
            <w:tcW w:w="2168" w:type="dxa"/>
            <w:shd w:val="clear" w:color="auto" w:fill="FBD4B4" w:themeFill="accent6" w:themeFillTint="66"/>
          </w:tcPr>
          <w:p w:rsidR="008B31F7" w:rsidRPr="00EE01B4" w:rsidRDefault="00E35FB9" w:rsidP="004D1A4F">
            <w:pPr>
              <w:jc w:val="center"/>
              <w:rPr>
                <w:rFonts w:cs="Arial"/>
                <w:b/>
                <w:sz w:val="20"/>
                <w:szCs w:val="20"/>
                <w:lang w:val="fr-FR"/>
              </w:rPr>
            </w:pPr>
            <w:r w:rsidRPr="00EE01B4">
              <w:rPr>
                <w:rFonts w:cs="Arial"/>
                <w:b/>
                <w:sz w:val="20"/>
                <w:szCs w:val="20"/>
                <w:lang w:val="fr-FR"/>
              </w:rPr>
              <w:t xml:space="preserve">Type </w:t>
            </w:r>
            <w:r w:rsidR="004D1A4F" w:rsidRPr="00EE01B4">
              <w:rPr>
                <w:rFonts w:cs="Arial"/>
                <w:b/>
                <w:sz w:val="20"/>
                <w:szCs w:val="20"/>
                <w:lang w:val="fr-FR"/>
              </w:rPr>
              <w:t>d’orientation</w:t>
            </w:r>
          </w:p>
        </w:tc>
        <w:tc>
          <w:tcPr>
            <w:tcW w:w="2582" w:type="dxa"/>
            <w:shd w:val="clear" w:color="auto" w:fill="FBD4B4" w:themeFill="accent6" w:themeFillTint="66"/>
          </w:tcPr>
          <w:p w:rsidR="008B31F7" w:rsidRPr="00EE01B4" w:rsidRDefault="004D1A4F" w:rsidP="003207C6">
            <w:pPr>
              <w:jc w:val="center"/>
              <w:rPr>
                <w:rFonts w:cs="Arial"/>
                <w:b/>
                <w:sz w:val="20"/>
                <w:szCs w:val="20"/>
                <w:lang w:val="fr-FR"/>
              </w:rPr>
            </w:pPr>
            <w:r w:rsidRPr="00EE01B4">
              <w:rPr>
                <w:rFonts w:cs="Arial"/>
                <w:b/>
                <w:sz w:val="20"/>
                <w:szCs w:val="20"/>
                <w:lang w:val="fr-FR"/>
              </w:rPr>
              <w:t>Public (praticiens, décideurs, scientifiques)</w:t>
            </w:r>
          </w:p>
        </w:tc>
        <w:tc>
          <w:tcPr>
            <w:tcW w:w="1259" w:type="dxa"/>
            <w:shd w:val="clear" w:color="auto" w:fill="FBD4B4" w:themeFill="accent6" w:themeFillTint="66"/>
          </w:tcPr>
          <w:p w:rsidR="008B31F7" w:rsidRPr="00EE01B4" w:rsidRDefault="004D1A4F" w:rsidP="004D1A4F">
            <w:pPr>
              <w:jc w:val="center"/>
              <w:rPr>
                <w:rFonts w:cs="Arial"/>
                <w:b/>
                <w:sz w:val="20"/>
                <w:szCs w:val="20"/>
                <w:lang w:val="fr-FR"/>
              </w:rPr>
            </w:pPr>
            <w:r w:rsidRPr="00EE01B4">
              <w:rPr>
                <w:rFonts w:cs="Arial"/>
                <w:b/>
                <w:sz w:val="20"/>
                <w:szCs w:val="20"/>
                <w:lang w:val="fr-FR"/>
              </w:rPr>
              <w:t>Manuel Ramsar</w:t>
            </w:r>
          </w:p>
        </w:tc>
        <w:tc>
          <w:tcPr>
            <w:tcW w:w="1259" w:type="dxa"/>
            <w:shd w:val="clear" w:color="auto" w:fill="FBD4B4" w:themeFill="accent6" w:themeFillTint="66"/>
          </w:tcPr>
          <w:p w:rsidR="008B31F7" w:rsidRPr="00EE01B4" w:rsidRDefault="008B31F7" w:rsidP="004D1A4F">
            <w:pPr>
              <w:jc w:val="center"/>
              <w:rPr>
                <w:rFonts w:cs="Arial"/>
                <w:b/>
                <w:sz w:val="20"/>
                <w:szCs w:val="20"/>
                <w:lang w:val="fr-FR"/>
              </w:rPr>
            </w:pPr>
            <w:r w:rsidRPr="00EE01B4">
              <w:rPr>
                <w:rFonts w:cs="Arial"/>
                <w:b/>
                <w:sz w:val="20"/>
                <w:szCs w:val="20"/>
                <w:lang w:val="fr-FR"/>
              </w:rPr>
              <w:t>Langue</w:t>
            </w:r>
            <w:r w:rsidRPr="00EE01B4">
              <w:rPr>
                <w:rStyle w:val="FootnoteReference"/>
                <w:rFonts w:cs="Arial"/>
                <w:b/>
                <w:sz w:val="20"/>
                <w:szCs w:val="20"/>
                <w:lang w:val="fr-FR"/>
              </w:rPr>
              <w:footnoteReference w:id="4"/>
            </w:r>
          </w:p>
        </w:tc>
        <w:tc>
          <w:tcPr>
            <w:tcW w:w="5293" w:type="dxa"/>
            <w:shd w:val="clear" w:color="auto" w:fill="FBD4B4" w:themeFill="accent6" w:themeFillTint="66"/>
          </w:tcPr>
          <w:p w:rsidR="008B31F7" w:rsidRPr="00EE01B4" w:rsidRDefault="00263CF9" w:rsidP="003207C6">
            <w:pPr>
              <w:jc w:val="center"/>
              <w:rPr>
                <w:rFonts w:cs="Arial"/>
                <w:b/>
                <w:sz w:val="20"/>
                <w:szCs w:val="20"/>
                <w:lang w:val="fr-FR"/>
              </w:rPr>
            </w:pPr>
            <w:r w:rsidRPr="00EE01B4">
              <w:rPr>
                <w:rFonts w:cs="Arial"/>
                <w:b/>
                <w:sz w:val="20"/>
                <w:szCs w:val="20"/>
                <w:lang w:val="fr-FR"/>
              </w:rPr>
              <w:t>Notes</w:t>
            </w:r>
          </w:p>
        </w:tc>
      </w:tr>
      <w:tr w:rsidR="000C6E14" w:rsidRPr="00EE01B4" w:rsidTr="000C6E14">
        <w:tblPrEx>
          <w:tblBorders>
            <w:bottom w:val="single" w:sz="4" w:space="0" w:color="auto"/>
            <w:insideH w:val="single" w:sz="4" w:space="0" w:color="auto"/>
            <w:insideV w:val="single" w:sz="4" w:space="0" w:color="auto"/>
          </w:tblBorders>
        </w:tblPrEx>
        <w:tc>
          <w:tcPr>
            <w:tcW w:w="15614" w:type="dxa"/>
            <w:gridSpan w:val="6"/>
            <w:shd w:val="clear" w:color="auto" w:fill="F2F2F2" w:themeFill="background1" w:themeFillShade="F2"/>
          </w:tcPr>
          <w:p w:rsidR="000C6E14" w:rsidRPr="00EE01B4" w:rsidRDefault="000C6E14" w:rsidP="003207C6">
            <w:pPr>
              <w:jc w:val="center"/>
              <w:rPr>
                <w:rFonts w:cs="Arial"/>
                <w:b/>
                <w:sz w:val="20"/>
                <w:szCs w:val="20"/>
                <w:lang w:val="fr-FR"/>
              </w:rPr>
            </w:pPr>
            <w:r w:rsidRPr="00EE01B4">
              <w:rPr>
                <w:rFonts w:cs="Arial"/>
                <w:b/>
                <w:sz w:val="20"/>
                <w:szCs w:val="20"/>
                <w:lang w:val="fr-FR"/>
              </w:rPr>
              <w:t>Ramsar guidance</w:t>
            </w:r>
          </w:p>
        </w:tc>
      </w:tr>
      <w:tr w:rsidR="0025591A" w:rsidRPr="00EE01B4" w:rsidTr="009D62D8">
        <w:tblPrEx>
          <w:tblBorders>
            <w:bottom w:val="single" w:sz="4" w:space="0" w:color="auto"/>
            <w:insideH w:val="single" w:sz="4" w:space="0" w:color="auto"/>
            <w:insideV w:val="single" w:sz="4" w:space="0" w:color="auto"/>
          </w:tblBorders>
        </w:tblPrEx>
        <w:tc>
          <w:tcPr>
            <w:tcW w:w="15614" w:type="dxa"/>
            <w:gridSpan w:val="6"/>
            <w:shd w:val="clear" w:color="auto" w:fill="FBD4B4" w:themeFill="accent6" w:themeFillTint="66"/>
          </w:tcPr>
          <w:p w:rsidR="0025591A" w:rsidRPr="00EE01B4" w:rsidRDefault="0025591A" w:rsidP="00B5352E">
            <w:pPr>
              <w:spacing w:after="40"/>
              <w:rPr>
                <w:rStyle w:val="Hyperlink"/>
                <w:sz w:val="20"/>
                <w:szCs w:val="20"/>
                <w:u w:val="none"/>
                <w:lang w:val="fr-FR"/>
              </w:rPr>
            </w:pPr>
            <w:r w:rsidRPr="00EE01B4">
              <w:rPr>
                <w:b/>
                <w:sz w:val="20"/>
                <w:szCs w:val="20"/>
                <w:lang w:val="fr-CH"/>
              </w:rPr>
              <w:t>Mise à jour 2016-2019</w:t>
            </w:r>
          </w:p>
        </w:tc>
      </w:tr>
      <w:tr w:rsidR="0025591A" w:rsidRPr="00DF180B" w:rsidTr="004D1A4F">
        <w:tblPrEx>
          <w:tblBorders>
            <w:bottom w:val="single" w:sz="4" w:space="0" w:color="auto"/>
            <w:insideH w:val="single" w:sz="4" w:space="0" w:color="auto"/>
            <w:insideV w:val="single" w:sz="4" w:space="0" w:color="auto"/>
          </w:tblBorders>
        </w:tblPrEx>
        <w:tc>
          <w:tcPr>
            <w:tcW w:w="3053" w:type="dxa"/>
          </w:tcPr>
          <w:p w:rsidR="0025591A" w:rsidRPr="00EE01B4" w:rsidRDefault="00DF180B" w:rsidP="007F2A42">
            <w:pPr>
              <w:rPr>
                <w:sz w:val="20"/>
                <w:szCs w:val="20"/>
                <w:lang w:val="fr-CH"/>
              </w:rPr>
            </w:pPr>
            <w:hyperlink r:id="rId123" w:history="1">
              <w:r w:rsidR="0025591A" w:rsidRPr="00EE01B4">
                <w:rPr>
                  <w:rStyle w:val="Hyperlink"/>
                  <w:sz w:val="20"/>
                  <w:szCs w:val="20"/>
                  <w:lang w:val="fr-CH"/>
                </w:rPr>
                <w:t xml:space="preserve">Global </w:t>
              </w:r>
              <w:proofErr w:type="spellStart"/>
              <w:r w:rsidR="0025591A" w:rsidRPr="00EE01B4">
                <w:rPr>
                  <w:rStyle w:val="Hyperlink"/>
                  <w:sz w:val="20"/>
                  <w:szCs w:val="20"/>
                  <w:lang w:val="fr-CH"/>
                </w:rPr>
                <w:t>Wetland</w:t>
              </w:r>
              <w:proofErr w:type="spellEnd"/>
              <w:r w:rsidR="0025591A" w:rsidRPr="00EE01B4">
                <w:rPr>
                  <w:rStyle w:val="Hyperlink"/>
                  <w:sz w:val="20"/>
                  <w:szCs w:val="20"/>
                  <w:lang w:val="fr-CH"/>
                </w:rPr>
                <w:t xml:space="preserve"> Outlook</w:t>
              </w:r>
            </w:hyperlink>
            <w:r w:rsidR="0025591A" w:rsidRPr="00EE01B4">
              <w:rPr>
                <w:sz w:val="20"/>
                <w:szCs w:val="20"/>
                <w:lang w:val="fr-CH"/>
              </w:rPr>
              <w:t xml:space="preserve"> </w:t>
            </w:r>
          </w:p>
        </w:tc>
        <w:tc>
          <w:tcPr>
            <w:tcW w:w="2168" w:type="dxa"/>
          </w:tcPr>
          <w:p w:rsidR="0025591A" w:rsidRPr="00EE01B4" w:rsidRDefault="0025591A" w:rsidP="007F2A42">
            <w:pPr>
              <w:rPr>
                <w:rFonts w:cs="Arial"/>
                <w:sz w:val="20"/>
                <w:szCs w:val="20"/>
                <w:lang w:val="fr-CH"/>
              </w:rPr>
            </w:pPr>
            <w:proofErr w:type="spellStart"/>
            <w:r w:rsidRPr="00EE01B4">
              <w:rPr>
                <w:rFonts w:cs="Arial"/>
                <w:sz w:val="20"/>
                <w:szCs w:val="20"/>
                <w:lang w:val="fr-CH"/>
              </w:rPr>
              <w:t>Technical</w:t>
            </w:r>
            <w:proofErr w:type="spellEnd"/>
            <w:r w:rsidRPr="00EE01B4">
              <w:rPr>
                <w:rFonts w:cs="Arial"/>
                <w:sz w:val="20"/>
                <w:szCs w:val="20"/>
                <w:lang w:val="fr-CH"/>
              </w:rPr>
              <w:t xml:space="preserve"> </w:t>
            </w:r>
          </w:p>
        </w:tc>
        <w:tc>
          <w:tcPr>
            <w:tcW w:w="2582" w:type="dxa"/>
          </w:tcPr>
          <w:p w:rsidR="0025591A" w:rsidRPr="00EE01B4" w:rsidRDefault="0025591A" w:rsidP="007F2A42">
            <w:pPr>
              <w:rPr>
                <w:rFonts w:cs="Arial"/>
                <w:sz w:val="20"/>
                <w:szCs w:val="20"/>
                <w:lang w:val="fr-CH"/>
              </w:rPr>
            </w:pPr>
            <w:proofErr w:type="spellStart"/>
            <w:r w:rsidRPr="00EE01B4">
              <w:rPr>
                <w:rFonts w:cs="Arial"/>
                <w:sz w:val="20"/>
                <w:szCs w:val="20"/>
                <w:lang w:val="fr-CH"/>
              </w:rPr>
              <w:t>Policymakers</w:t>
            </w:r>
            <w:proofErr w:type="spellEnd"/>
            <w:r w:rsidRPr="00EE01B4">
              <w:rPr>
                <w:rFonts w:cs="Arial"/>
                <w:sz w:val="20"/>
                <w:szCs w:val="20"/>
                <w:lang w:val="fr-CH"/>
              </w:rPr>
              <w:t xml:space="preserve">, </w:t>
            </w:r>
            <w:proofErr w:type="spellStart"/>
            <w:r w:rsidRPr="00EE01B4">
              <w:rPr>
                <w:rFonts w:cs="Arial"/>
                <w:sz w:val="20"/>
                <w:szCs w:val="20"/>
                <w:lang w:val="fr-CH"/>
              </w:rPr>
              <w:t>practitioners</w:t>
            </w:r>
            <w:proofErr w:type="spellEnd"/>
          </w:p>
        </w:tc>
        <w:tc>
          <w:tcPr>
            <w:tcW w:w="1259" w:type="dxa"/>
          </w:tcPr>
          <w:p w:rsidR="0025591A" w:rsidRPr="00EE01B4" w:rsidRDefault="0025591A" w:rsidP="007F2A42">
            <w:pPr>
              <w:rPr>
                <w:rFonts w:cs="Arial"/>
                <w:sz w:val="20"/>
                <w:szCs w:val="20"/>
                <w:lang w:val="fr-CH"/>
              </w:rPr>
            </w:pPr>
          </w:p>
        </w:tc>
        <w:tc>
          <w:tcPr>
            <w:tcW w:w="1259" w:type="dxa"/>
          </w:tcPr>
          <w:p w:rsidR="0025591A" w:rsidRPr="00EE01B4" w:rsidRDefault="0025591A" w:rsidP="007F2A42">
            <w:pPr>
              <w:rPr>
                <w:sz w:val="20"/>
                <w:szCs w:val="20"/>
                <w:lang w:val="fr-CH"/>
              </w:rPr>
            </w:pPr>
            <w:r w:rsidRPr="00EE01B4">
              <w:rPr>
                <w:sz w:val="20"/>
                <w:szCs w:val="20"/>
                <w:lang w:val="fr-CH"/>
              </w:rPr>
              <w:t xml:space="preserve">EFSRA </w:t>
            </w:r>
          </w:p>
        </w:tc>
        <w:tc>
          <w:tcPr>
            <w:tcW w:w="5293" w:type="dxa"/>
          </w:tcPr>
          <w:p w:rsidR="0025591A" w:rsidRPr="00EE01B4" w:rsidRDefault="0025591A" w:rsidP="007F2A42">
            <w:pPr>
              <w:rPr>
                <w:sz w:val="20"/>
                <w:szCs w:val="20"/>
                <w:lang w:val="en-CA"/>
              </w:rPr>
            </w:pPr>
            <w:r w:rsidRPr="00EE01B4">
              <w:rPr>
                <w:sz w:val="20"/>
                <w:szCs w:val="20"/>
                <w:u w:val="single"/>
                <w:lang w:val="en-CA"/>
              </w:rPr>
              <w:t>Summary</w:t>
            </w:r>
            <w:r w:rsidRPr="00EE01B4">
              <w:rPr>
                <w:sz w:val="20"/>
                <w:szCs w:val="20"/>
                <w:lang w:val="en-CA"/>
              </w:rPr>
              <w:t>: The Global Wetland Outlook, a Flagship publication of the Ramsar Convention on Wetlands, “provides a current overview of global wetlands: their extent, trends, drivers of change and the responses needed to reverse the historical decline in wetland area and quality”.</w:t>
            </w:r>
          </w:p>
        </w:tc>
      </w:tr>
      <w:tr w:rsidR="0025591A" w:rsidRPr="00DF180B" w:rsidTr="004D1A4F">
        <w:tblPrEx>
          <w:tblBorders>
            <w:bottom w:val="single" w:sz="4" w:space="0" w:color="auto"/>
            <w:insideH w:val="single" w:sz="4" w:space="0" w:color="auto"/>
            <w:insideV w:val="single" w:sz="4" w:space="0" w:color="auto"/>
          </w:tblBorders>
        </w:tblPrEx>
        <w:tc>
          <w:tcPr>
            <w:tcW w:w="3053" w:type="dxa"/>
          </w:tcPr>
          <w:p w:rsidR="0025591A" w:rsidRPr="00EE01B4" w:rsidRDefault="00DF180B" w:rsidP="007F2A42">
            <w:pPr>
              <w:rPr>
                <w:sz w:val="20"/>
                <w:szCs w:val="20"/>
                <w:lang w:val="en-CA"/>
              </w:rPr>
            </w:pPr>
            <w:hyperlink r:id="rId124" w:history="1">
              <w:r w:rsidR="0025591A" w:rsidRPr="00EE01B4">
                <w:rPr>
                  <w:rStyle w:val="Hyperlink"/>
                  <w:sz w:val="20"/>
                  <w:szCs w:val="20"/>
                  <w:lang w:val="en-CA"/>
                </w:rPr>
                <w:t>Global Wetland Outlook Technical Notes</w:t>
              </w:r>
            </w:hyperlink>
            <w:r w:rsidR="0025591A" w:rsidRPr="00EE01B4">
              <w:rPr>
                <w:sz w:val="20"/>
                <w:szCs w:val="20"/>
                <w:lang w:val="en-CA"/>
              </w:rPr>
              <w:t xml:space="preserve"> </w:t>
            </w:r>
          </w:p>
        </w:tc>
        <w:tc>
          <w:tcPr>
            <w:tcW w:w="2168" w:type="dxa"/>
          </w:tcPr>
          <w:p w:rsidR="0025591A" w:rsidRPr="00EE01B4" w:rsidRDefault="0025591A" w:rsidP="007F2A42">
            <w:pPr>
              <w:rPr>
                <w:rFonts w:cs="Arial"/>
                <w:sz w:val="20"/>
                <w:szCs w:val="20"/>
                <w:lang w:val="fr-CH"/>
              </w:rPr>
            </w:pPr>
            <w:r w:rsidRPr="00EE01B4">
              <w:rPr>
                <w:rFonts w:cs="Arial"/>
                <w:sz w:val="20"/>
                <w:szCs w:val="20"/>
                <w:lang w:val="fr-CH"/>
              </w:rPr>
              <w:t xml:space="preserve">Scientific / </w:t>
            </w:r>
            <w:proofErr w:type="spellStart"/>
            <w:r w:rsidRPr="00EE01B4">
              <w:rPr>
                <w:rFonts w:cs="Arial"/>
                <w:sz w:val="20"/>
                <w:szCs w:val="20"/>
                <w:lang w:val="fr-CH"/>
              </w:rPr>
              <w:t>technical</w:t>
            </w:r>
            <w:proofErr w:type="spellEnd"/>
          </w:p>
        </w:tc>
        <w:tc>
          <w:tcPr>
            <w:tcW w:w="2582" w:type="dxa"/>
          </w:tcPr>
          <w:p w:rsidR="0025591A" w:rsidRPr="00EE01B4" w:rsidRDefault="0025591A" w:rsidP="007F2A42">
            <w:pPr>
              <w:rPr>
                <w:rFonts w:cs="Arial"/>
                <w:sz w:val="20"/>
                <w:szCs w:val="20"/>
                <w:lang w:val="fr-CH"/>
              </w:rPr>
            </w:pPr>
          </w:p>
        </w:tc>
        <w:tc>
          <w:tcPr>
            <w:tcW w:w="1259" w:type="dxa"/>
          </w:tcPr>
          <w:p w:rsidR="0025591A" w:rsidRPr="00EE01B4" w:rsidRDefault="0025591A" w:rsidP="007F2A42">
            <w:pPr>
              <w:rPr>
                <w:rFonts w:cs="Arial"/>
                <w:sz w:val="20"/>
                <w:szCs w:val="20"/>
                <w:lang w:val="fr-CH"/>
              </w:rPr>
            </w:pPr>
          </w:p>
        </w:tc>
        <w:tc>
          <w:tcPr>
            <w:tcW w:w="1259" w:type="dxa"/>
          </w:tcPr>
          <w:p w:rsidR="0025591A" w:rsidRPr="00EE01B4" w:rsidRDefault="0025591A" w:rsidP="007F2A42">
            <w:pPr>
              <w:rPr>
                <w:sz w:val="20"/>
                <w:szCs w:val="20"/>
                <w:lang w:val="fr-CH"/>
              </w:rPr>
            </w:pPr>
            <w:r w:rsidRPr="00EE01B4">
              <w:rPr>
                <w:sz w:val="20"/>
                <w:szCs w:val="20"/>
                <w:lang w:val="fr-CH"/>
              </w:rPr>
              <w:t>E</w:t>
            </w:r>
          </w:p>
        </w:tc>
        <w:tc>
          <w:tcPr>
            <w:tcW w:w="5293" w:type="dxa"/>
          </w:tcPr>
          <w:p w:rsidR="0025591A" w:rsidRPr="00EE01B4" w:rsidRDefault="0025591A" w:rsidP="007F2A42">
            <w:pPr>
              <w:rPr>
                <w:sz w:val="20"/>
                <w:szCs w:val="20"/>
                <w:lang w:val="en-CA"/>
              </w:rPr>
            </w:pPr>
            <w:r w:rsidRPr="00EE01B4">
              <w:rPr>
                <w:sz w:val="20"/>
                <w:szCs w:val="20"/>
                <w:u w:val="single"/>
                <w:lang w:val="en-CA"/>
              </w:rPr>
              <w:t>Summary</w:t>
            </w:r>
            <w:r w:rsidRPr="00EE01B4">
              <w:rPr>
                <w:sz w:val="20"/>
                <w:szCs w:val="20"/>
                <w:lang w:val="en-CA"/>
              </w:rPr>
              <w:t>: “The technical notes are complementary to the Global Wetland Outlook, consisting of supplemental details and references. They also may provide technical information to explain the analysis or methodology supporting findings published in the Global Wetland Outlook”.</w:t>
            </w:r>
          </w:p>
        </w:tc>
      </w:tr>
      <w:tr w:rsidR="0025591A" w:rsidRPr="00DF180B" w:rsidTr="004D1A4F">
        <w:tblPrEx>
          <w:tblBorders>
            <w:bottom w:val="single" w:sz="4" w:space="0" w:color="auto"/>
            <w:insideH w:val="single" w:sz="4" w:space="0" w:color="auto"/>
            <w:insideV w:val="single" w:sz="4" w:space="0" w:color="auto"/>
          </w:tblBorders>
        </w:tblPrEx>
        <w:tc>
          <w:tcPr>
            <w:tcW w:w="3053" w:type="dxa"/>
          </w:tcPr>
          <w:p w:rsidR="0025591A" w:rsidRPr="00EE01B4" w:rsidRDefault="00DF180B" w:rsidP="007F2A42">
            <w:pPr>
              <w:rPr>
                <w:sz w:val="20"/>
                <w:szCs w:val="20"/>
                <w:lang w:val="en-CA"/>
              </w:rPr>
            </w:pPr>
            <w:hyperlink r:id="rId125" w:history="1">
              <w:r w:rsidR="0025591A" w:rsidRPr="00EE01B4">
                <w:rPr>
                  <w:rStyle w:val="Hyperlink"/>
                  <w:sz w:val="20"/>
                  <w:szCs w:val="20"/>
                  <w:lang w:val="en-CA"/>
                </w:rPr>
                <w:t>Ramsar Briefing Note 8: Ramsar Advisory Missions - Technical advice on Ramsar Sites</w:t>
              </w:r>
            </w:hyperlink>
          </w:p>
        </w:tc>
        <w:tc>
          <w:tcPr>
            <w:tcW w:w="2168" w:type="dxa"/>
          </w:tcPr>
          <w:p w:rsidR="0025591A" w:rsidRPr="00EE01B4" w:rsidRDefault="0025591A" w:rsidP="007F2A42">
            <w:pPr>
              <w:rPr>
                <w:rFonts w:cs="Arial"/>
                <w:sz w:val="20"/>
                <w:szCs w:val="20"/>
                <w:lang w:val="fr-CH"/>
              </w:rPr>
            </w:pPr>
            <w:proofErr w:type="spellStart"/>
            <w:r w:rsidRPr="00EE01B4">
              <w:rPr>
                <w:rFonts w:cs="Arial"/>
                <w:sz w:val="20"/>
                <w:szCs w:val="20"/>
                <w:lang w:val="fr-CH"/>
              </w:rPr>
              <w:t>Technical</w:t>
            </w:r>
            <w:proofErr w:type="spellEnd"/>
            <w:r w:rsidRPr="00EE01B4">
              <w:rPr>
                <w:rFonts w:cs="Arial"/>
                <w:sz w:val="20"/>
                <w:szCs w:val="20"/>
                <w:lang w:val="fr-CH"/>
              </w:rPr>
              <w:t xml:space="preserve"> </w:t>
            </w:r>
          </w:p>
        </w:tc>
        <w:tc>
          <w:tcPr>
            <w:tcW w:w="2582" w:type="dxa"/>
          </w:tcPr>
          <w:p w:rsidR="0025591A" w:rsidRPr="00EE01B4" w:rsidRDefault="0025591A" w:rsidP="007F2A42">
            <w:pPr>
              <w:rPr>
                <w:rFonts w:cs="Arial"/>
                <w:sz w:val="20"/>
                <w:szCs w:val="20"/>
                <w:lang w:val="fr-CH"/>
              </w:rPr>
            </w:pPr>
            <w:proofErr w:type="spellStart"/>
            <w:r w:rsidRPr="00EE01B4">
              <w:rPr>
                <w:rFonts w:cs="Arial"/>
                <w:sz w:val="20"/>
                <w:szCs w:val="20"/>
                <w:lang w:val="fr-CH"/>
              </w:rPr>
              <w:t>Practitioners</w:t>
            </w:r>
            <w:proofErr w:type="spellEnd"/>
            <w:r w:rsidRPr="00EE01B4">
              <w:rPr>
                <w:rFonts w:cs="Arial"/>
                <w:sz w:val="20"/>
                <w:szCs w:val="20"/>
                <w:lang w:val="fr-CH"/>
              </w:rPr>
              <w:t xml:space="preserve"> </w:t>
            </w:r>
          </w:p>
        </w:tc>
        <w:tc>
          <w:tcPr>
            <w:tcW w:w="1259" w:type="dxa"/>
          </w:tcPr>
          <w:p w:rsidR="0025591A" w:rsidRPr="00EE01B4" w:rsidRDefault="0025591A" w:rsidP="007F2A42">
            <w:pPr>
              <w:rPr>
                <w:rFonts w:cs="Arial"/>
                <w:sz w:val="20"/>
                <w:szCs w:val="20"/>
                <w:lang w:val="fr-CH"/>
              </w:rPr>
            </w:pPr>
          </w:p>
        </w:tc>
        <w:tc>
          <w:tcPr>
            <w:tcW w:w="1259" w:type="dxa"/>
          </w:tcPr>
          <w:p w:rsidR="0025591A" w:rsidRPr="00EE01B4" w:rsidRDefault="0025591A" w:rsidP="007F2A42">
            <w:pPr>
              <w:rPr>
                <w:sz w:val="20"/>
                <w:szCs w:val="20"/>
                <w:lang w:val="fr-CH"/>
              </w:rPr>
            </w:pPr>
            <w:r w:rsidRPr="00EE01B4">
              <w:rPr>
                <w:sz w:val="20"/>
                <w:szCs w:val="20"/>
                <w:lang w:val="fr-CH"/>
              </w:rPr>
              <w:t>EFS</w:t>
            </w:r>
          </w:p>
        </w:tc>
        <w:tc>
          <w:tcPr>
            <w:tcW w:w="5293" w:type="dxa"/>
          </w:tcPr>
          <w:p w:rsidR="0025591A" w:rsidRPr="00EE01B4" w:rsidRDefault="0025591A" w:rsidP="007F2A42">
            <w:pPr>
              <w:rPr>
                <w:rStyle w:val="Hyperlink"/>
                <w:sz w:val="20"/>
                <w:szCs w:val="20"/>
                <w:u w:val="none"/>
                <w:lang w:val="en-CA"/>
              </w:rPr>
            </w:pPr>
            <w:r w:rsidRPr="00EE01B4">
              <w:rPr>
                <w:sz w:val="20"/>
                <w:szCs w:val="20"/>
                <w:u w:val="single"/>
                <w:lang w:val="en-CA"/>
              </w:rPr>
              <w:t>Summary</w:t>
            </w:r>
            <w:r w:rsidRPr="00EE01B4">
              <w:rPr>
                <w:sz w:val="20"/>
                <w:szCs w:val="20"/>
                <w:lang w:val="en-CA"/>
              </w:rPr>
              <w:t>: “This Briefing Note, which builds on the results of the comprehensive review and analysis of all RAM reports, provides general information to Ramsar Sites managers about RAMs, including their history and use. The Briefing Note also discusses the benefits of RAMs, offers examples of effective RAM applications and explains how a Contracting Party can request a RAM”.</w:t>
            </w:r>
          </w:p>
        </w:tc>
      </w:tr>
      <w:tr w:rsidR="0025591A" w:rsidRPr="00DF180B" w:rsidTr="004D1A4F">
        <w:tblPrEx>
          <w:tblBorders>
            <w:bottom w:val="single" w:sz="4" w:space="0" w:color="auto"/>
            <w:insideH w:val="single" w:sz="4" w:space="0" w:color="auto"/>
            <w:insideV w:val="single" w:sz="4" w:space="0" w:color="auto"/>
          </w:tblBorders>
        </w:tblPrEx>
        <w:tc>
          <w:tcPr>
            <w:tcW w:w="3053" w:type="dxa"/>
          </w:tcPr>
          <w:p w:rsidR="0025591A" w:rsidRPr="00EE01B4" w:rsidRDefault="00DF180B" w:rsidP="007F2A42">
            <w:pPr>
              <w:rPr>
                <w:sz w:val="20"/>
                <w:szCs w:val="20"/>
                <w:lang w:val="en-CA"/>
              </w:rPr>
            </w:pPr>
            <w:hyperlink r:id="rId126" w:history="1">
              <w:r w:rsidR="0025591A" w:rsidRPr="00EE01B4">
                <w:rPr>
                  <w:rStyle w:val="Hyperlink"/>
                  <w:sz w:val="20"/>
                  <w:szCs w:val="20"/>
                  <w:lang w:val="en-CA"/>
                </w:rPr>
                <w:t>Ramsar Policy Brief 3: Ramsar Advisory Missions - A mechanism to respond to change in ecological character of Ramsar Sites</w:t>
              </w:r>
            </w:hyperlink>
          </w:p>
        </w:tc>
        <w:tc>
          <w:tcPr>
            <w:tcW w:w="2168" w:type="dxa"/>
          </w:tcPr>
          <w:p w:rsidR="0025591A" w:rsidRPr="00EE01B4" w:rsidRDefault="0025591A" w:rsidP="007F2A42">
            <w:pPr>
              <w:rPr>
                <w:rFonts w:cs="Arial"/>
                <w:sz w:val="20"/>
                <w:szCs w:val="20"/>
                <w:lang w:val="fr-CH"/>
              </w:rPr>
            </w:pPr>
            <w:proofErr w:type="spellStart"/>
            <w:r w:rsidRPr="00EE01B4">
              <w:rPr>
                <w:rFonts w:cs="Arial"/>
                <w:sz w:val="20"/>
                <w:szCs w:val="20"/>
                <w:lang w:val="fr-CH"/>
              </w:rPr>
              <w:t>Technical</w:t>
            </w:r>
            <w:proofErr w:type="spellEnd"/>
          </w:p>
        </w:tc>
        <w:tc>
          <w:tcPr>
            <w:tcW w:w="2582" w:type="dxa"/>
          </w:tcPr>
          <w:p w:rsidR="0025591A" w:rsidRPr="00EE01B4" w:rsidRDefault="0025591A" w:rsidP="007F2A42">
            <w:pPr>
              <w:rPr>
                <w:rFonts w:cs="Arial"/>
                <w:sz w:val="20"/>
                <w:szCs w:val="20"/>
                <w:lang w:val="fr-CH"/>
              </w:rPr>
            </w:pPr>
            <w:proofErr w:type="spellStart"/>
            <w:r w:rsidRPr="00EE01B4">
              <w:rPr>
                <w:rFonts w:cs="Arial"/>
                <w:sz w:val="20"/>
                <w:szCs w:val="20"/>
                <w:lang w:val="fr-CH"/>
              </w:rPr>
              <w:t>Policymakers</w:t>
            </w:r>
            <w:proofErr w:type="spellEnd"/>
          </w:p>
        </w:tc>
        <w:tc>
          <w:tcPr>
            <w:tcW w:w="1259" w:type="dxa"/>
          </w:tcPr>
          <w:p w:rsidR="0025591A" w:rsidRPr="00EE01B4" w:rsidRDefault="0025591A" w:rsidP="007F2A42">
            <w:pPr>
              <w:rPr>
                <w:rFonts w:cs="Arial"/>
                <w:sz w:val="20"/>
                <w:szCs w:val="20"/>
                <w:lang w:val="fr-CH"/>
              </w:rPr>
            </w:pPr>
          </w:p>
        </w:tc>
        <w:tc>
          <w:tcPr>
            <w:tcW w:w="1259" w:type="dxa"/>
          </w:tcPr>
          <w:p w:rsidR="0025591A" w:rsidRPr="00EE01B4" w:rsidRDefault="0025591A" w:rsidP="007F2A42">
            <w:pPr>
              <w:rPr>
                <w:sz w:val="20"/>
                <w:szCs w:val="20"/>
                <w:lang w:val="fr-CH"/>
              </w:rPr>
            </w:pPr>
            <w:r w:rsidRPr="00EE01B4">
              <w:rPr>
                <w:sz w:val="20"/>
                <w:szCs w:val="20"/>
                <w:lang w:val="fr-CH"/>
              </w:rPr>
              <w:t>EFS</w:t>
            </w:r>
          </w:p>
        </w:tc>
        <w:tc>
          <w:tcPr>
            <w:tcW w:w="5293" w:type="dxa"/>
          </w:tcPr>
          <w:p w:rsidR="0025591A" w:rsidRPr="00EE01B4" w:rsidRDefault="0025591A" w:rsidP="007F2A42">
            <w:pPr>
              <w:rPr>
                <w:rStyle w:val="Hyperlink"/>
                <w:sz w:val="20"/>
                <w:szCs w:val="20"/>
                <w:u w:val="none"/>
                <w:lang w:val="en-CA"/>
              </w:rPr>
            </w:pPr>
            <w:r w:rsidRPr="00EE01B4">
              <w:rPr>
                <w:sz w:val="20"/>
                <w:szCs w:val="20"/>
                <w:u w:val="single"/>
                <w:lang w:val="en-CA"/>
              </w:rPr>
              <w:t>Summary</w:t>
            </w:r>
            <w:r w:rsidRPr="00EE01B4">
              <w:rPr>
                <w:sz w:val="20"/>
                <w:szCs w:val="20"/>
                <w:lang w:val="en-CA"/>
              </w:rPr>
              <w:t xml:space="preserve">: The “Policy Brief seeks to assist Contracting Parties to the Convention and, more specifically, decision makers in Ramsar Administrative Authorities and National Focal Points in further understanding the RAM concept, the value of </w:t>
            </w:r>
            <w:r w:rsidRPr="00EE01B4">
              <w:rPr>
                <w:sz w:val="20"/>
                <w:szCs w:val="20"/>
                <w:lang w:val="en-CA"/>
              </w:rPr>
              <w:lastRenderedPageBreak/>
              <w:t xml:space="preserve">RAMs, as well as lessons learned on their effective application.” </w:t>
            </w:r>
          </w:p>
        </w:tc>
      </w:tr>
      <w:tr w:rsidR="0025591A" w:rsidRPr="00EE01B4" w:rsidTr="009D62D8">
        <w:tblPrEx>
          <w:tblBorders>
            <w:bottom w:val="single" w:sz="4" w:space="0" w:color="auto"/>
            <w:insideH w:val="single" w:sz="4" w:space="0" w:color="auto"/>
            <w:insideV w:val="single" w:sz="4" w:space="0" w:color="auto"/>
          </w:tblBorders>
        </w:tblPrEx>
        <w:tc>
          <w:tcPr>
            <w:tcW w:w="15614" w:type="dxa"/>
            <w:gridSpan w:val="6"/>
            <w:shd w:val="clear" w:color="auto" w:fill="FBD4B4" w:themeFill="accent6" w:themeFillTint="66"/>
          </w:tcPr>
          <w:p w:rsidR="0025591A" w:rsidRPr="00EE01B4" w:rsidRDefault="0025591A" w:rsidP="00B5352E">
            <w:pPr>
              <w:spacing w:after="40"/>
              <w:rPr>
                <w:rStyle w:val="Hyperlink"/>
                <w:sz w:val="20"/>
                <w:szCs w:val="20"/>
                <w:u w:val="none"/>
                <w:lang w:val="fr-FR"/>
              </w:rPr>
            </w:pPr>
            <w:r w:rsidRPr="00EE01B4">
              <w:rPr>
                <w:rFonts w:cs="Arial"/>
                <w:b/>
                <w:sz w:val="20"/>
                <w:szCs w:val="20"/>
                <w:lang w:val="fr-CH"/>
              </w:rPr>
              <w:lastRenderedPageBreak/>
              <w:t>Jusqu’en 2015</w:t>
            </w:r>
          </w:p>
        </w:tc>
      </w:tr>
      <w:tr w:rsidR="0025591A" w:rsidRPr="00EE01B4" w:rsidTr="004D1A4F">
        <w:tblPrEx>
          <w:tblBorders>
            <w:bottom w:val="single" w:sz="4" w:space="0" w:color="auto"/>
            <w:insideH w:val="single" w:sz="4" w:space="0" w:color="auto"/>
            <w:insideV w:val="single" w:sz="4" w:space="0" w:color="auto"/>
          </w:tblBorders>
        </w:tblPrEx>
        <w:tc>
          <w:tcPr>
            <w:tcW w:w="3053" w:type="dxa"/>
          </w:tcPr>
          <w:p w:rsidR="0025591A" w:rsidRPr="00EE01B4" w:rsidRDefault="00DF180B" w:rsidP="00BA79C2">
            <w:pPr>
              <w:spacing w:after="40"/>
              <w:rPr>
                <w:sz w:val="20"/>
                <w:szCs w:val="20"/>
                <w:lang w:val="fr-FR"/>
              </w:rPr>
            </w:pPr>
            <w:hyperlink r:id="rId127" w:history="1">
              <w:r w:rsidR="0025591A" w:rsidRPr="00EE01B4">
                <w:rPr>
                  <w:rStyle w:val="Hyperlink"/>
                  <w:sz w:val="20"/>
                  <w:szCs w:val="20"/>
                  <w:lang w:val="fr-FR"/>
                </w:rPr>
                <w:t>Résolution XI.7 : Le tourisme, les loisirs et les zones humides</w:t>
              </w:r>
            </w:hyperlink>
          </w:p>
        </w:tc>
        <w:tc>
          <w:tcPr>
            <w:tcW w:w="2168" w:type="dxa"/>
          </w:tcPr>
          <w:p w:rsidR="0025591A" w:rsidRPr="00EE01B4" w:rsidRDefault="0025591A" w:rsidP="00B5352E">
            <w:pPr>
              <w:rPr>
                <w:rFonts w:cs="Arial"/>
                <w:sz w:val="20"/>
                <w:szCs w:val="20"/>
                <w:lang w:val="fr-FR"/>
              </w:rPr>
            </w:pPr>
            <w:r w:rsidRPr="00EE01B4">
              <w:rPr>
                <w:rFonts w:cs="Arial"/>
                <w:sz w:val="20"/>
                <w:szCs w:val="20"/>
                <w:lang w:val="fr-FR"/>
              </w:rPr>
              <w:t xml:space="preserve">Technique </w:t>
            </w:r>
          </w:p>
        </w:tc>
        <w:tc>
          <w:tcPr>
            <w:tcW w:w="2582" w:type="dxa"/>
          </w:tcPr>
          <w:p w:rsidR="0025591A" w:rsidRPr="00EE01B4" w:rsidRDefault="0025591A" w:rsidP="00B5352E">
            <w:pPr>
              <w:rPr>
                <w:rFonts w:cs="Arial"/>
                <w:sz w:val="20"/>
                <w:szCs w:val="20"/>
                <w:lang w:val="fr-FR"/>
              </w:rPr>
            </w:pPr>
            <w:r w:rsidRPr="00EE01B4">
              <w:rPr>
                <w:rFonts w:cs="Arial"/>
                <w:sz w:val="20"/>
                <w:szCs w:val="20"/>
                <w:lang w:val="fr-FR"/>
              </w:rPr>
              <w:t xml:space="preserve">Praticiens, décideurs </w:t>
            </w:r>
          </w:p>
        </w:tc>
        <w:tc>
          <w:tcPr>
            <w:tcW w:w="1259" w:type="dxa"/>
          </w:tcPr>
          <w:p w:rsidR="0025591A" w:rsidRPr="00EE01B4" w:rsidRDefault="0025591A" w:rsidP="00B5352E">
            <w:pPr>
              <w:rPr>
                <w:rFonts w:cs="Arial"/>
                <w:sz w:val="20"/>
                <w:szCs w:val="20"/>
                <w:lang w:val="fr-FR"/>
              </w:rPr>
            </w:pPr>
            <w:r w:rsidRPr="00EE01B4">
              <w:rPr>
                <w:sz w:val="20"/>
                <w:szCs w:val="20"/>
                <w:lang w:val="fr-FR"/>
              </w:rPr>
              <w:t>Pas encore inclus dans un Manuel</w:t>
            </w:r>
          </w:p>
        </w:tc>
        <w:tc>
          <w:tcPr>
            <w:tcW w:w="1259" w:type="dxa"/>
          </w:tcPr>
          <w:p w:rsidR="0025591A" w:rsidRPr="00EE01B4" w:rsidRDefault="0025591A" w:rsidP="00B5352E">
            <w:pPr>
              <w:spacing w:after="40"/>
              <w:rPr>
                <w:sz w:val="20"/>
                <w:szCs w:val="20"/>
                <w:lang w:val="fr-FR"/>
              </w:rPr>
            </w:pPr>
            <w:r w:rsidRPr="00EE01B4">
              <w:rPr>
                <w:sz w:val="20"/>
                <w:szCs w:val="20"/>
                <w:lang w:val="fr-FR"/>
              </w:rPr>
              <w:t>EFS</w:t>
            </w:r>
          </w:p>
        </w:tc>
        <w:tc>
          <w:tcPr>
            <w:tcW w:w="5293" w:type="dxa"/>
          </w:tcPr>
          <w:p w:rsidR="0025591A" w:rsidRPr="00EE01B4" w:rsidRDefault="0025591A" w:rsidP="00B5352E">
            <w:pPr>
              <w:spacing w:after="40"/>
              <w:rPr>
                <w:sz w:val="20"/>
                <w:szCs w:val="20"/>
                <w:lang w:val="fr-FR"/>
              </w:rPr>
            </w:pPr>
            <w:r w:rsidRPr="00EE01B4">
              <w:rPr>
                <w:rStyle w:val="Hyperlink"/>
                <w:sz w:val="20"/>
                <w:szCs w:val="20"/>
                <w:u w:val="none"/>
                <w:lang w:val="fr-FR"/>
              </w:rPr>
              <w:t xml:space="preserve"> </w:t>
            </w:r>
          </w:p>
        </w:tc>
      </w:tr>
      <w:tr w:rsidR="0025591A" w:rsidRPr="00EE01B4" w:rsidTr="004D1A4F">
        <w:tblPrEx>
          <w:tblBorders>
            <w:bottom w:val="single" w:sz="4" w:space="0" w:color="auto"/>
            <w:insideH w:val="single" w:sz="4" w:space="0" w:color="auto"/>
            <w:insideV w:val="single" w:sz="4" w:space="0" w:color="auto"/>
          </w:tblBorders>
        </w:tblPrEx>
        <w:tc>
          <w:tcPr>
            <w:tcW w:w="3053" w:type="dxa"/>
          </w:tcPr>
          <w:p w:rsidR="0025591A" w:rsidRPr="00EE01B4" w:rsidRDefault="00DF180B" w:rsidP="00BA79C2">
            <w:pPr>
              <w:spacing w:after="40"/>
              <w:rPr>
                <w:sz w:val="20"/>
                <w:szCs w:val="20"/>
                <w:lang w:val="fr-FR"/>
              </w:rPr>
            </w:pPr>
            <w:hyperlink r:id="rId128" w:history="1">
              <w:r w:rsidR="0025591A" w:rsidRPr="00EE01B4">
                <w:rPr>
                  <w:rStyle w:val="Hyperlink"/>
                  <w:sz w:val="20"/>
                  <w:szCs w:val="20"/>
                  <w:lang w:val="fr-FR"/>
                </w:rPr>
                <w:t>Résolution XI.9 : Cadre intégré et lignes directrices pour éviter, atténuer et compenser les pertes en zones humides</w:t>
              </w:r>
            </w:hyperlink>
          </w:p>
        </w:tc>
        <w:tc>
          <w:tcPr>
            <w:tcW w:w="2168" w:type="dxa"/>
          </w:tcPr>
          <w:p w:rsidR="0025591A" w:rsidRPr="00EE01B4" w:rsidRDefault="0025591A" w:rsidP="00B5352E">
            <w:pPr>
              <w:rPr>
                <w:rFonts w:cs="Arial"/>
                <w:sz w:val="20"/>
                <w:szCs w:val="20"/>
                <w:lang w:val="fr-FR"/>
              </w:rPr>
            </w:pPr>
            <w:r w:rsidRPr="00EE01B4">
              <w:rPr>
                <w:rFonts w:cs="Arial"/>
                <w:sz w:val="20"/>
                <w:szCs w:val="20"/>
                <w:lang w:val="fr-FR"/>
              </w:rPr>
              <w:t>Technique</w:t>
            </w:r>
          </w:p>
        </w:tc>
        <w:tc>
          <w:tcPr>
            <w:tcW w:w="2582" w:type="dxa"/>
          </w:tcPr>
          <w:p w:rsidR="0025591A" w:rsidRPr="00EE01B4" w:rsidRDefault="0025591A" w:rsidP="00B5352E">
            <w:pPr>
              <w:rPr>
                <w:rFonts w:cs="Arial"/>
                <w:sz w:val="20"/>
                <w:szCs w:val="20"/>
                <w:lang w:val="fr-FR"/>
              </w:rPr>
            </w:pPr>
            <w:r w:rsidRPr="00EE01B4">
              <w:rPr>
                <w:rFonts w:cs="Arial"/>
                <w:sz w:val="20"/>
                <w:szCs w:val="20"/>
                <w:lang w:val="fr-FR"/>
              </w:rPr>
              <w:t>Décideurs, praticiens</w:t>
            </w:r>
          </w:p>
        </w:tc>
        <w:tc>
          <w:tcPr>
            <w:tcW w:w="1259" w:type="dxa"/>
          </w:tcPr>
          <w:p w:rsidR="0025591A" w:rsidRPr="00EE01B4" w:rsidRDefault="0025591A" w:rsidP="00B5352E">
            <w:pPr>
              <w:rPr>
                <w:rFonts w:cs="Arial"/>
                <w:sz w:val="20"/>
                <w:szCs w:val="20"/>
                <w:lang w:val="fr-FR"/>
              </w:rPr>
            </w:pPr>
            <w:r w:rsidRPr="00EE01B4">
              <w:rPr>
                <w:sz w:val="20"/>
                <w:szCs w:val="20"/>
                <w:lang w:val="fr-FR"/>
              </w:rPr>
              <w:t>Pas encore inclus dans un Manuel</w:t>
            </w:r>
          </w:p>
        </w:tc>
        <w:tc>
          <w:tcPr>
            <w:tcW w:w="1259" w:type="dxa"/>
          </w:tcPr>
          <w:p w:rsidR="0025591A" w:rsidRPr="00EE01B4" w:rsidRDefault="0025591A" w:rsidP="00B5352E">
            <w:pPr>
              <w:spacing w:after="100"/>
              <w:rPr>
                <w:sz w:val="20"/>
                <w:szCs w:val="20"/>
                <w:lang w:val="fr-FR"/>
              </w:rPr>
            </w:pPr>
            <w:r w:rsidRPr="00EE01B4">
              <w:rPr>
                <w:sz w:val="20"/>
                <w:szCs w:val="20"/>
                <w:lang w:val="fr-FR"/>
              </w:rPr>
              <w:t>EFS</w:t>
            </w:r>
          </w:p>
        </w:tc>
        <w:tc>
          <w:tcPr>
            <w:tcW w:w="5293" w:type="dxa"/>
          </w:tcPr>
          <w:p w:rsidR="0025591A" w:rsidRPr="00EE01B4" w:rsidRDefault="0025591A" w:rsidP="00B5352E">
            <w:pPr>
              <w:spacing w:after="40"/>
              <w:rPr>
                <w:sz w:val="20"/>
                <w:szCs w:val="20"/>
                <w:lang w:val="fr-FR"/>
              </w:rPr>
            </w:pPr>
          </w:p>
        </w:tc>
      </w:tr>
      <w:tr w:rsidR="0025591A" w:rsidRPr="00EE01B4" w:rsidTr="004D1A4F">
        <w:tblPrEx>
          <w:tblBorders>
            <w:bottom w:val="single" w:sz="4" w:space="0" w:color="auto"/>
            <w:insideH w:val="single" w:sz="4" w:space="0" w:color="auto"/>
            <w:insideV w:val="single" w:sz="4" w:space="0" w:color="auto"/>
          </w:tblBorders>
        </w:tblPrEx>
        <w:tc>
          <w:tcPr>
            <w:tcW w:w="3053" w:type="dxa"/>
          </w:tcPr>
          <w:p w:rsidR="0025591A" w:rsidRPr="00EE01B4" w:rsidRDefault="00DF180B" w:rsidP="00BA79C2">
            <w:pPr>
              <w:spacing w:after="40"/>
              <w:rPr>
                <w:sz w:val="20"/>
                <w:szCs w:val="20"/>
                <w:lang w:val="fr-FR"/>
              </w:rPr>
            </w:pPr>
            <w:hyperlink r:id="rId129" w:history="1">
              <w:r w:rsidR="0025591A" w:rsidRPr="00EE01B4">
                <w:rPr>
                  <w:rStyle w:val="Hyperlink"/>
                  <w:sz w:val="20"/>
                  <w:szCs w:val="20"/>
                  <w:lang w:val="fr-FR"/>
                </w:rPr>
                <w:t>Résolution XI.10 : Les zones humides et les questions relatives à l’énergie</w:t>
              </w:r>
            </w:hyperlink>
            <w:r w:rsidR="0025591A" w:rsidRPr="00EE01B4">
              <w:rPr>
                <w:sz w:val="20"/>
                <w:szCs w:val="20"/>
                <w:lang w:val="fr-FR"/>
              </w:rPr>
              <w:t xml:space="preserve">  </w:t>
            </w:r>
          </w:p>
        </w:tc>
        <w:tc>
          <w:tcPr>
            <w:tcW w:w="2168" w:type="dxa"/>
          </w:tcPr>
          <w:p w:rsidR="0025591A" w:rsidRPr="00EE01B4" w:rsidRDefault="0025591A" w:rsidP="00B5352E">
            <w:pPr>
              <w:rPr>
                <w:rFonts w:cs="Arial"/>
                <w:sz w:val="20"/>
                <w:szCs w:val="20"/>
                <w:lang w:val="fr-FR"/>
              </w:rPr>
            </w:pPr>
            <w:r w:rsidRPr="00EE01B4">
              <w:rPr>
                <w:rFonts w:cs="Arial"/>
                <w:sz w:val="20"/>
                <w:szCs w:val="20"/>
                <w:lang w:val="fr-FR"/>
              </w:rPr>
              <w:t>Technique</w:t>
            </w:r>
          </w:p>
        </w:tc>
        <w:tc>
          <w:tcPr>
            <w:tcW w:w="2582" w:type="dxa"/>
          </w:tcPr>
          <w:p w:rsidR="0025591A" w:rsidRPr="00EE01B4" w:rsidRDefault="0025591A" w:rsidP="00B5352E">
            <w:pPr>
              <w:rPr>
                <w:rFonts w:cs="Arial"/>
                <w:sz w:val="20"/>
                <w:szCs w:val="20"/>
                <w:lang w:val="fr-FR"/>
              </w:rPr>
            </w:pPr>
            <w:r w:rsidRPr="00EE01B4">
              <w:rPr>
                <w:rFonts w:cs="Arial"/>
                <w:sz w:val="20"/>
                <w:szCs w:val="20"/>
                <w:lang w:val="fr-FR"/>
              </w:rPr>
              <w:t>Décideurs, praticiens</w:t>
            </w:r>
          </w:p>
        </w:tc>
        <w:tc>
          <w:tcPr>
            <w:tcW w:w="1259" w:type="dxa"/>
          </w:tcPr>
          <w:p w:rsidR="0025591A" w:rsidRPr="00EE01B4" w:rsidRDefault="0025591A" w:rsidP="00B5352E">
            <w:pPr>
              <w:rPr>
                <w:rFonts w:cs="Arial"/>
                <w:sz w:val="20"/>
                <w:szCs w:val="20"/>
                <w:lang w:val="fr-FR"/>
              </w:rPr>
            </w:pPr>
            <w:r w:rsidRPr="00EE01B4">
              <w:rPr>
                <w:sz w:val="20"/>
                <w:szCs w:val="20"/>
                <w:lang w:val="fr-FR"/>
              </w:rPr>
              <w:t>Pas encore inclus dans un Manuel</w:t>
            </w:r>
          </w:p>
        </w:tc>
        <w:tc>
          <w:tcPr>
            <w:tcW w:w="1259" w:type="dxa"/>
          </w:tcPr>
          <w:p w:rsidR="0025591A" w:rsidRPr="00EE01B4" w:rsidRDefault="0025591A" w:rsidP="00B5352E">
            <w:pPr>
              <w:spacing w:after="100"/>
              <w:rPr>
                <w:sz w:val="20"/>
                <w:szCs w:val="20"/>
                <w:lang w:val="fr-FR"/>
              </w:rPr>
            </w:pPr>
            <w:r w:rsidRPr="00EE01B4">
              <w:rPr>
                <w:sz w:val="20"/>
                <w:szCs w:val="20"/>
                <w:lang w:val="fr-FR"/>
              </w:rPr>
              <w:t>EFS</w:t>
            </w:r>
          </w:p>
        </w:tc>
        <w:tc>
          <w:tcPr>
            <w:tcW w:w="5293" w:type="dxa"/>
          </w:tcPr>
          <w:p w:rsidR="0025591A" w:rsidRPr="00EE01B4" w:rsidRDefault="0025591A" w:rsidP="00B5352E">
            <w:pPr>
              <w:spacing w:after="40"/>
              <w:rPr>
                <w:sz w:val="20"/>
                <w:szCs w:val="20"/>
                <w:lang w:val="fr-FR"/>
              </w:rPr>
            </w:pPr>
          </w:p>
        </w:tc>
      </w:tr>
      <w:tr w:rsidR="0025591A" w:rsidRPr="00EE01B4" w:rsidTr="004D1A4F">
        <w:tblPrEx>
          <w:tblBorders>
            <w:bottom w:val="single" w:sz="4" w:space="0" w:color="auto"/>
            <w:insideH w:val="single" w:sz="4" w:space="0" w:color="auto"/>
            <w:insideV w:val="single" w:sz="4" w:space="0" w:color="auto"/>
          </w:tblBorders>
        </w:tblPrEx>
        <w:tc>
          <w:tcPr>
            <w:tcW w:w="3053" w:type="dxa"/>
          </w:tcPr>
          <w:p w:rsidR="0025591A" w:rsidRPr="00EE01B4" w:rsidRDefault="00DF180B" w:rsidP="004D1A4F">
            <w:pPr>
              <w:spacing w:after="40"/>
              <w:rPr>
                <w:sz w:val="20"/>
                <w:szCs w:val="20"/>
                <w:lang w:val="fr-FR"/>
              </w:rPr>
            </w:pPr>
            <w:hyperlink r:id="rId130" w:history="1">
              <w:r w:rsidR="0025591A" w:rsidRPr="00EE01B4">
                <w:rPr>
                  <w:rStyle w:val="Hyperlink"/>
                  <w:sz w:val="20"/>
                  <w:szCs w:val="20"/>
                  <w:lang w:val="fr-FR"/>
                </w:rPr>
                <w:t>Résolution XI.11 : Principes pour la planification et la gestion des zones humides urbaines et périurbaines</w:t>
              </w:r>
            </w:hyperlink>
          </w:p>
        </w:tc>
        <w:tc>
          <w:tcPr>
            <w:tcW w:w="2168" w:type="dxa"/>
          </w:tcPr>
          <w:p w:rsidR="0025591A" w:rsidRPr="00EE01B4" w:rsidRDefault="0025591A" w:rsidP="00B5352E">
            <w:pPr>
              <w:rPr>
                <w:rFonts w:cs="Arial"/>
                <w:sz w:val="20"/>
                <w:szCs w:val="20"/>
                <w:lang w:val="fr-FR"/>
              </w:rPr>
            </w:pPr>
            <w:r w:rsidRPr="00EE01B4">
              <w:rPr>
                <w:rFonts w:cs="Arial"/>
                <w:sz w:val="20"/>
                <w:szCs w:val="20"/>
                <w:lang w:val="fr-FR"/>
              </w:rPr>
              <w:t>Technique</w:t>
            </w:r>
          </w:p>
        </w:tc>
        <w:tc>
          <w:tcPr>
            <w:tcW w:w="2582" w:type="dxa"/>
          </w:tcPr>
          <w:p w:rsidR="0025591A" w:rsidRPr="00EE01B4" w:rsidRDefault="0025591A" w:rsidP="00B5352E">
            <w:pPr>
              <w:rPr>
                <w:rFonts w:cs="Arial"/>
                <w:sz w:val="20"/>
                <w:szCs w:val="20"/>
                <w:lang w:val="fr-FR"/>
              </w:rPr>
            </w:pPr>
            <w:r w:rsidRPr="00EE01B4">
              <w:rPr>
                <w:rFonts w:cs="Arial"/>
                <w:sz w:val="20"/>
                <w:szCs w:val="20"/>
                <w:lang w:val="fr-FR"/>
              </w:rPr>
              <w:t>Décideurs, praticiens</w:t>
            </w:r>
          </w:p>
        </w:tc>
        <w:tc>
          <w:tcPr>
            <w:tcW w:w="1259" w:type="dxa"/>
          </w:tcPr>
          <w:p w:rsidR="0025591A" w:rsidRPr="00EE01B4" w:rsidRDefault="0025591A" w:rsidP="00B5352E">
            <w:pPr>
              <w:rPr>
                <w:rFonts w:cs="Arial"/>
                <w:sz w:val="20"/>
                <w:szCs w:val="20"/>
                <w:lang w:val="fr-FR"/>
              </w:rPr>
            </w:pPr>
            <w:r w:rsidRPr="00EE01B4">
              <w:rPr>
                <w:sz w:val="20"/>
                <w:szCs w:val="20"/>
                <w:lang w:val="fr-FR"/>
              </w:rPr>
              <w:t>Pas encore inclus dans un Manuel</w:t>
            </w:r>
          </w:p>
        </w:tc>
        <w:tc>
          <w:tcPr>
            <w:tcW w:w="1259" w:type="dxa"/>
          </w:tcPr>
          <w:p w:rsidR="0025591A" w:rsidRPr="00EE01B4" w:rsidRDefault="0025591A" w:rsidP="00B5352E">
            <w:pPr>
              <w:spacing w:after="100"/>
              <w:rPr>
                <w:sz w:val="20"/>
                <w:szCs w:val="20"/>
                <w:lang w:val="fr-FR"/>
              </w:rPr>
            </w:pPr>
            <w:r w:rsidRPr="00EE01B4">
              <w:rPr>
                <w:sz w:val="20"/>
                <w:szCs w:val="20"/>
                <w:lang w:val="fr-FR"/>
              </w:rPr>
              <w:t>EFS</w:t>
            </w:r>
          </w:p>
        </w:tc>
        <w:tc>
          <w:tcPr>
            <w:tcW w:w="5293" w:type="dxa"/>
          </w:tcPr>
          <w:p w:rsidR="0025591A" w:rsidRPr="00EE01B4" w:rsidRDefault="0025591A" w:rsidP="00B5352E">
            <w:pPr>
              <w:spacing w:after="40"/>
              <w:rPr>
                <w:sz w:val="20"/>
                <w:szCs w:val="20"/>
                <w:lang w:val="fr-FR"/>
              </w:rPr>
            </w:pPr>
          </w:p>
        </w:tc>
      </w:tr>
      <w:tr w:rsidR="0025591A" w:rsidRPr="00EE01B4" w:rsidTr="004D1A4F">
        <w:tblPrEx>
          <w:tblBorders>
            <w:bottom w:val="single" w:sz="4" w:space="0" w:color="auto"/>
            <w:insideH w:val="single" w:sz="4" w:space="0" w:color="auto"/>
            <w:insideV w:val="single" w:sz="4" w:space="0" w:color="auto"/>
          </w:tblBorders>
        </w:tblPrEx>
        <w:tc>
          <w:tcPr>
            <w:tcW w:w="3053" w:type="dxa"/>
          </w:tcPr>
          <w:p w:rsidR="0025591A" w:rsidRPr="00EE01B4" w:rsidRDefault="00DF180B" w:rsidP="00BA79C2">
            <w:pPr>
              <w:spacing w:after="40"/>
              <w:rPr>
                <w:sz w:val="20"/>
                <w:szCs w:val="20"/>
                <w:lang w:val="fr-FR"/>
              </w:rPr>
            </w:pPr>
            <w:hyperlink r:id="rId131" w:history="1">
              <w:r w:rsidR="0025591A" w:rsidRPr="00EE01B4">
                <w:rPr>
                  <w:rStyle w:val="Hyperlink"/>
                  <w:sz w:val="20"/>
                  <w:szCs w:val="20"/>
                  <w:lang w:val="fr-FR"/>
                </w:rPr>
                <w:t xml:space="preserve">Résolution X.3 : La Déclaration de </w:t>
              </w:r>
              <w:proofErr w:type="spellStart"/>
              <w:r w:rsidR="0025591A" w:rsidRPr="00EE01B4">
                <w:rPr>
                  <w:rStyle w:val="Hyperlink"/>
                  <w:sz w:val="20"/>
                  <w:szCs w:val="20"/>
                  <w:lang w:val="fr-FR"/>
                </w:rPr>
                <w:t>Changwon</w:t>
              </w:r>
              <w:proofErr w:type="spellEnd"/>
              <w:r w:rsidR="0025591A" w:rsidRPr="00EE01B4">
                <w:rPr>
                  <w:rStyle w:val="Hyperlink"/>
                  <w:sz w:val="20"/>
                  <w:szCs w:val="20"/>
                  <w:lang w:val="fr-FR"/>
                </w:rPr>
                <w:t xml:space="preserve"> sur le bien-être humain et les zones humides</w:t>
              </w:r>
            </w:hyperlink>
          </w:p>
        </w:tc>
        <w:tc>
          <w:tcPr>
            <w:tcW w:w="2168" w:type="dxa"/>
          </w:tcPr>
          <w:p w:rsidR="0025591A" w:rsidRPr="00EE01B4" w:rsidRDefault="0025591A" w:rsidP="00B5352E">
            <w:pPr>
              <w:rPr>
                <w:rFonts w:cs="Arial"/>
                <w:sz w:val="20"/>
                <w:szCs w:val="20"/>
                <w:lang w:val="fr-FR"/>
              </w:rPr>
            </w:pPr>
            <w:r w:rsidRPr="00EE01B4">
              <w:rPr>
                <w:rFonts w:cs="Arial"/>
                <w:sz w:val="20"/>
                <w:szCs w:val="20"/>
                <w:lang w:val="fr-FR"/>
              </w:rPr>
              <w:t>Technique</w:t>
            </w:r>
          </w:p>
        </w:tc>
        <w:tc>
          <w:tcPr>
            <w:tcW w:w="2582" w:type="dxa"/>
          </w:tcPr>
          <w:p w:rsidR="0025591A" w:rsidRPr="00EE01B4" w:rsidRDefault="0025591A" w:rsidP="00B5352E">
            <w:pPr>
              <w:rPr>
                <w:rFonts w:cs="Arial"/>
                <w:sz w:val="20"/>
                <w:szCs w:val="20"/>
                <w:lang w:val="fr-FR"/>
              </w:rPr>
            </w:pPr>
            <w:r w:rsidRPr="00EE01B4">
              <w:rPr>
                <w:rFonts w:cs="Arial"/>
                <w:sz w:val="20"/>
                <w:szCs w:val="20"/>
                <w:lang w:val="fr-FR"/>
              </w:rPr>
              <w:t>Décideurs, praticiens</w:t>
            </w:r>
          </w:p>
        </w:tc>
        <w:tc>
          <w:tcPr>
            <w:tcW w:w="1259" w:type="dxa"/>
          </w:tcPr>
          <w:p w:rsidR="0025591A" w:rsidRPr="00EE01B4" w:rsidRDefault="0025591A" w:rsidP="00B5352E">
            <w:pPr>
              <w:rPr>
                <w:rFonts w:cs="Arial"/>
                <w:sz w:val="20"/>
                <w:szCs w:val="20"/>
                <w:lang w:val="fr-FR"/>
              </w:rPr>
            </w:pPr>
            <w:r w:rsidRPr="00EE01B4">
              <w:rPr>
                <w:rFonts w:cs="Arial"/>
                <w:sz w:val="20"/>
                <w:szCs w:val="20"/>
                <w:lang w:val="fr-FR"/>
              </w:rPr>
              <w:t>1</w:t>
            </w:r>
          </w:p>
        </w:tc>
        <w:tc>
          <w:tcPr>
            <w:tcW w:w="1259" w:type="dxa"/>
          </w:tcPr>
          <w:p w:rsidR="0025591A" w:rsidRPr="00EE01B4" w:rsidRDefault="0025591A" w:rsidP="00B5352E">
            <w:pPr>
              <w:spacing w:after="100"/>
              <w:rPr>
                <w:sz w:val="20"/>
                <w:szCs w:val="20"/>
                <w:lang w:val="fr-FR"/>
              </w:rPr>
            </w:pPr>
            <w:r w:rsidRPr="00EE01B4">
              <w:rPr>
                <w:sz w:val="20"/>
                <w:szCs w:val="20"/>
                <w:lang w:val="fr-FR"/>
              </w:rPr>
              <w:t>EFS</w:t>
            </w:r>
          </w:p>
        </w:tc>
        <w:tc>
          <w:tcPr>
            <w:tcW w:w="5293" w:type="dxa"/>
          </w:tcPr>
          <w:p w:rsidR="0025591A" w:rsidRPr="00EE01B4" w:rsidRDefault="0025591A" w:rsidP="00B5352E">
            <w:pPr>
              <w:spacing w:after="40"/>
              <w:rPr>
                <w:sz w:val="20"/>
                <w:szCs w:val="20"/>
                <w:lang w:val="fr-FR"/>
              </w:rPr>
            </w:pPr>
          </w:p>
        </w:tc>
      </w:tr>
      <w:tr w:rsidR="0025591A" w:rsidRPr="00EE01B4" w:rsidTr="004D1A4F">
        <w:tblPrEx>
          <w:tblBorders>
            <w:bottom w:val="single" w:sz="4" w:space="0" w:color="auto"/>
            <w:insideH w:val="single" w:sz="4" w:space="0" w:color="auto"/>
            <w:insideV w:val="single" w:sz="4" w:space="0" w:color="auto"/>
          </w:tblBorders>
        </w:tblPrEx>
        <w:tc>
          <w:tcPr>
            <w:tcW w:w="3053" w:type="dxa"/>
          </w:tcPr>
          <w:p w:rsidR="0025591A" w:rsidRPr="00EE01B4" w:rsidRDefault="00DF180B" w:rsidP="009E2D28">
            <w:pPr>
              <w:spacing w:after="40"/>
              <w:rPr>
                <w:sz w:val="20"/>
                <w:szCs w:val="20"/>
                <w:lang w:val="fr-FR"/>
              </w:rPr>
            </w:pPr>
            <w:hyperlink r:id="rId132" w:history="1">
              <w:r w:rsidR="0025591A" w:rsidRPr="00EE01B4">
                <w:rPr>
                  <w:rStyle w:val="Hyperlink"/>
                  <w:sz w:val="20"/>
                  <w:szCs w:val="20"/>
                  <w:lang w:val="fr-FR"/>
                </w:rPr>
                <w:t>Résolution X.17 : Étude d’impact sur l’environnement et évaluation environnementale stratégique : orientations scientifiques et techniques actualisées</w:t>
              </w:r>
            </w:hyperlink>
          </w:p>
        </w:tc>
        <w:tc>
          <w:tcPr>
            <w:tcW w:w="2168" w:type="dxa"/>
          </w:tcPr>
          <w:p w:rsidR="0025591A" w:rsidRPr="00EE01B4" w:rsidRDefault="0025591A" w:rsidP="00B5352E">
            <w:pPr>
              <w:rPr>
                <w:rFonts w:cs="Arial"/>
                <w:sz w:val="20"/>
                <w:szCs w:val="20"/>
                <w:lang w:val="fr-FR"/>
              </w:rPr>
            </w:pPr>
            <w:r w:rsidRPr="00EE01B4">
              <w:rPr>
                <w:rFonts w:cs="Arial"/>
                <w:sz w:val="20"/>
                <w:szCs w:val="20"/>
                <w:lang w:val="fr-FR"/>
              </w:rPr>
              <w:t>Technique</w:t>
            </w:r>
          </w:p>
        </w:tc>
        <w:tc>
          <w:tcPr>
            <w:tcW w:w="2582" w:type="dxa"/>
          </w:tcPr>
          <w:p w:rsidR="0025591A" w:rsidRPr="00EE01B4" w:rsidRDefault="0025591A" w:rsidP="00B5352E">
            <w:pPr>
              <w:rPr>
                <w:rFonts w:cs="Arial"/>
                <w:sz w:val="20"/>
                <w:szCs w:val="20"/>
                <w:lang w:val="fr-FR"/>
              </w:rPr>
            </w:pPr>
            <w:r w:rsidRPr="00EE01B4">
              <w:rPr>
                <w:rFonts w:cs="Arial"/>
                <w:sz w:val="20"/>
                <w:szCs w:val="20"/>
                <w:lang w:val="fr-FR"/>
              </w:rPr>
              <w:t>Praticiens, décideurs</w:t>
            </w:r>
          </w:p>
        </w:tc>
        <w:tc>
          <w:tcPr>
            <w:tcW w:w="1259" w:type="dxa"/>
          </w:tcPr>
          <w:p w:rsidR="0025591A" w:rsidRPr="00EE01B4" w:rsidRDefault="0025591A" w:rsidP="00B5352E">
            <w:pPr>
              <w:rPr>
                <w:rFonts w:cs="Arial"/>
                <w:sz w:val="20"/>
                <w:szCs w:val="20"/>
                <w:lang w:val="fr-FR"/>
              </w:rPr>
            </w:pPr>
            <w:r w:rsidRPr="00EE01B4">
              <w:rPr>
                <w:rFonts w:cs="Arial"/>
                <w:sz w:val="20"/>
                <w:szCs w:val="20"/>
                <w:lang w:val="fr-FR"/>
              </w:rPr>
              <w:t>16</w:t>
            </w:r>
          </w:p>
        </w:tc>
        <w:tc>
          <w:tcPr>
            <w:tcW w:w="1259" w:type="dxa"/>
          </w:tcPr>
          <w:p w:rsidR="0025591A" w:rsidRPr="00EE01B4" w:rsidRDefault="0025591A" w:rsidP="00B5352E">
            <w:pPr>
              <w:spacing w:after="100"/>
              <w:rPr>
                <w:sz w:val="20"/>
                <w:szCs w:val="20"/>
                <w:lang w:val="fr-FR"/>
              </w:rPr>
            </w:pPr>
            <w:r w:rsidRPr="00EE01B4">
              <w:rPr>
                <w:sz w:val="20"/>
                <w:szCs w:val="20"/>
                <w:lang w:val="fr-FR"/>
              </w:rPr>
              <w:t>EFS</w:t>
            </w:r>
          </w:p>
        </w:tc>
        <w:tc>
          <w:tcPr>
            <w:tcW w:w="5293" w:type="dxa"/>
          </w:tcPr>
          <w:p w:rsidR="0025591A" w:rsidRPr="00EE01B4" w:rsidRDefault="0025591A" w:rsidP="00B5352E">
            <w:pPr>
              <w:spacing w:after="40"/>
              <w:rPr>
                <w:sz w:val="20"/>
                <w:szCs w:val="20"/>
                <w:lang w:val="fr-FR"/>
              </w:rPr>
            </w:pPr>
          </w:p>
        </w:tc>
      </w:tr>
      <w:tr w:rsidR="0025591A" w:rsidRPr="00EE01B4" w:rsidTr="004D1A4F">
        <w:tblPrEx>
          <w:tblBorders>
            <w:bottom w:val="single" w:sz="4" w:space="0" w:color="auto"/>
            <w:insideH w:val="single" w:sz="4" w:space="0" w:color="auto"/>
            <w:insideV w:val="single" w:sz="4" w:space="0" w:color="auto"/>
          </w:tblBorders>
        </w:tblPrEx>
        <w:tc>
          <w:tcPr>
            <w:tcW w:w="3053" w:type="dxa"/>
          </w:tcPr>
          <w:p w:rsidR="0025591A" w:rsidRPr="00EE01B4" w:rsidRDefault="00DF180B" w:rsidP="009E2D28">
            <w:pPr>
              <w:spacing w:after="40"/>
              <w:rPr>
                <w:sz w:val="20"/>
                <w:szCs w:val="20"/>
                <w:lang w:val="fr-FR"/>
              </w:rPr>
            </w:pPr>
            <w:hyperlink r:id="rId133" w:history="1">
              <w:r w:rsidR="0025591A" w:rsidRPr="00EE01B4">
                <w:rPr>
                  <w:rStyle w:val="Hyperlink"/>
                  <w:sz w:val="20"/>
                  <w:szCs w:val="20"/>
                  <w:lang w:val="fr-FR"/>
                </w:rPr>
                <w:t>Résolution X.19 : Les zones humides et la gestion des bassins hydrographiques : orientations scientifiques et techniques regroupées***</w:t>
              </w:r>
            </w:hyperlink>
          </w:p>
        </w:tc>
        <w:tc>
          <w:tcPr>
            <w:tcW w:w="2168" w:type="dxa"/>
          </w:tcPr>
          <w:p w:rsidR="0025591A" w:rsidRPr="00EE01B4" w:rsidRDefault="0025591A" w:rsidP="00B5352E">
            <w:pPr>
              <w:rPr>
                <w:rFonts w:cs="Arial"/>
                <w:sz w:val="20"/>
                <w:szCs w:val="20"/>
                <w:lang w:val="fr-FR"/>
              </w:rPr>
            </w:pPr>
            <w:r w:rsidRPr="00EE01B4">
              <w:rPr>
                <w:sz w:val="20"/>
                <w:szCs w:val="20"/>
                <w:lang w:val="fr-FR"/>
              </w:rPr>
              <w:t>Technique</w:t>
            </w:r>
          </w:p>
        </w:tc>
        <w:tc>
          <w:tcPr>
            <w:tcW w:w="2582" w:type="dxa"/>
          </w:tcPr>
          <w:p w:rsidR="0025591A" w:rsidRPr="00EE01B4" w:rsidRDefault="0025591A" w:rsidP="00B5352E">
            <w:pPr>
              <w:rPr>
                <w:rFonts w:cs="Arial"/>
                <w:sz w:val="20"/>
                <w:szCs w:val="20"/>
                <w:lang w:val="fr-FR"/>
              </w:rPr>
            </w:pPr>
            <w:r w:rsidRPr="00EE01B4">
              <w:rPr>
                <w:rFonts w:cs="Arial"/>
                <w:sz w:val="20"/>
                <w:szCs w:val="20"/>
                <w:lang w:val="fr-FR"/>
              </w:rPr>
              <w:t>Décideurs, praticiens</w:t>
            </w:r>
          </w:p>
        </w:tc>
        <w:tc>
          <w:tcPr>
            <w:tcW w:w="1259" w:type="dxa"/>
          </w:tcPr>
          <w:p w:rsidR="0025591A" w:rsidRPr="00EE01B4" w:rsidRDefault="0025591A" w:rsidP="00B5352E">
            <w:pPr>
              <w:rPr>
                <w:rFonts w:cs="Arial"/>
                <w:sz w:val="20"/>
                <w:szCs w:val="20"/>
                <w:lang w:val="fr-FR"/>
              </w:rPr>
            </w:pPr>
            <w:r w:rsidRPr="00EE01B4">
              <w:rPr>
                <w:rFonts w:cs="Arial"/>
                <w:sz w:val="20"/>
                <w:szCs w:val="20"/>
                <w:lang w:val="fr-FR"/>
              </w:rPr>
              <w:t>8, 9</w:t>
            </w:r>
          </w:p>
        </w:tc>
        <w:tc>
          <w:tcPr>
            <w:tcW w:w="1259" w:type="dxa"/>
          </w:tcPr>
          <w:p w:rsidR="0025591A" w:rsidRPr="00EE01B4" w:rsidRDefault="0025591A" w:rsidP="00B5352E">
            <w:pPr>
              <w:spacing w:after="100"/>
              <w:rPr>
                <w:sz w:val="20"/>
                <w:szCs w:val="20"/>
                <w:lang w:val="fr-FR"/>
              </w:rPr>
            </w:pPr>
            <w:r w:rsidRPr="00EE01B4">
              <w:rPr>
                <w:sz w:val="20"/>
                <w:szCs w:val="20"/>
                <w:lang w:val="fr-FR"/>
              </w:rPr>
              <w:t>EFS</w:t>
            </w:r>
          </w:p>
        </w:tc>
        <w:tc>
          <w:tcPr>
            <w:tcW w:w="5293" w:type="dxa"/>
          </w:tcPr>
          <w:p w:rsidR="0025591A" w:rsidRPr="00EE01B4" w:rsidRDefault="0025591A" w:rsidP="00B5352E">
            <w:pPr>
              <w:spacing w:after="40"/>
              <w:rPr>
                <w:sz w:val="20"/>
                <w:szCs w:val="20"/>
                <w:lang w:val="fr-FR"/>
              </w:rPr>
            </w:pPr>
          </w:p>
        </w:tc>
      </w:tr>
      <w:tr w:rsidR="0025591A" w:rsidRPr="00EE01B4" w:rsidTr="004D1A4F">
        <w:tblPrEx>
          <w:tblBorders>
            <w:bottom w:val="single" w:sz="4" w:space="0" w:color="auto"/>
            <w:insideH w:val="single" w:sz="4" w:space="0" w:color="auto"/>
            <w:insideV w:val="single" w:sz="4" w:space="0" w:color="auto"/>
          </w:tblBorders>
        </w:tblPrEx>
        <w:tc>
          <w:tcPr>
            <w:tcW w:w="3053" w:type="dxa"/>
          </w:tcPr>
          <w:p w:rsidR="0025591A" w:rsidRPr="00EE01B4" w:rsidRDefault="0025591A" w:rsidP="00BA79C2">
            <w:pPr>
              <w:spacing w:after="40"/>
              <w:rPr>
                <w:rStyle w:val="Hyperlink"/>
                <w:sz w:val="20"/>
                <w:szCs w:val="20"/>
                <w:lang w:val="fr-FR"/>
              </w:rPr>
            </w:pPr>
            <w:r w:rsidRPr="00EE01B4">
              <w:rPr>
                <w:sz w:val="20"/>
                <w:szCs w:val="20"/>
                <w:lang w:val="fr-FR"/>
              </w:rPr>
              <w:fldChar w:fldCharType="begin"/>
            </w:r>
            <w:r w:rsidRPr="00EE01B4">
              <w:rPr>
                <w:sz w:val="20"/>
                <w:szCs w:val="20"/>
                <w:lang w:val="fr-FR"/>
              </w:rPr>
              <w:instrText xml:space="preserve"> HYPERLINK "http://www.ramsar.org/sites/default/files/documents/pdf/res/key_res_ix_01_annexcii_f.pdf" </w:instrText>
            </w:r>
            <w:r w:rsidRPr="00EE01B4">
              <w:rPr>
                <w:sz w:val="20"/>
                <w:szCs w:val="20"/>
                <w:lang w:val="fr-FR"/>
              </w:rPr>
              <w:fldChar w:fldCharType="separate"/>
            </w:r>
            <w:r w:rsidRPr="00EE01B4">
              <w:rPr>
                <w:rStyle w:val="Hyperlink"/>
                <w:sz w:val="20"/>
                <w:szCs w:val="20"/>
                <w:lang w:val="fr-FR"/>
              </w:rPr>
              <w:t xml:space="preserve">Résolution IX.1, Annexe </w:t>
            </w:r>
            <w:proofErr w:type="spellStart"/>
            <w:r w:rsidRPr="00EE01B4">
              <w:rPr>
                <w:rStyle w:val="Hyperlink"/>
                <w:sz w:val="20"/>
                <w:szCs w:val="20"/>
                <w:lang w:val="fr-FR"/>
              </w:rPr>
              <w:t>Cii</w:t>
            </w:r>
            <w:proofErr w:type="spellEnd"/>
            <w:r w:rsidRPr="00EE01B4">
              <w:rPr>
                <w:rStyle w:val="Hyperlink"/>
                <w:sz w:val="20"/>
                <w:szCs w:val="20"/>
                <w:lang w:val="fr-FR"/>
              </w:rPr>
              <w:t> : Lignes directrices pour la gestion des eaux souterraines en vue de maintenir les caractéristiques</w:t>
            </w:r>
          </w:p>
          <w:p w:rsidR="0025591A" w:rsidRPr="00EE01B4" w:rsidRDefault="0025591A" w:rsidP="00BA79C2">
            <w:pPr>
              <w:spacing w:after="40"/>
              <w:rPr>
                <w:sz w:val="20"/>
                <w:szCs w:val="20"/>
                <w:lang w:val="fr-FR"/>
              </w:rPr>
            </w:pPr>
            <w:r w:rsidRPr="00EE01B4">
              <w:rPr>
                <w:rStyle w:val="Hyperlink"/>
                <w:sz w:val="20"/>
                <w:szCs w:val="20"/>
                <w:lang w:val="fr-FR"/>
              </w:rPr>
              <w:t>écologiques des zones humides</w:t>
            </w:r>
            <w:r w:rsidRPr="00EE01B4">
              <w:rPr>
                <w:sz w:val="20"/>
                <w:szCs w:val="20"/>
                <w:lang w:val="fr-FR"/>
              </w:rPr>
              <w:fldChar w:fldCharType="end"/>
            </w:r>
            <w:r w:rsidRPr="00EE01B4">
              <w:rPr>
                <w:sz w:val="20"/>
                <w:szCs w:val="20"/>
                <w:lang w:val="fr-FR"/>
              </w:rPr>
              <w:t xml:space="preserve"> </w:t>
            </w:r>
          </w:p>
        </w:tc>
        <w:tc>
          <w:tcPr>
            <w:tcW w:w="2168" w:type="dxa"/>
          </w:tcPr>
          <w:p w:rsidR="0025591A" w:rsidRPr="00EE01B4" w:rsidRDefault="0025591A" w:rsidP="009E2D28">
            <w:pPr>
              <w:rPr>
                <w:rFonts w:cs="Arial"/>
                <w:sz w:val="20"/>
                <w:szCs w:val="20"/>
                <w:lang w:val="fr-FR"/>
              </w:rPr>
            </w:pPr>
            <w:r w:rsidRPr="00EE01B4">
              <w:rPr>
                <w:sz w:val="20"/>
                <w:szCs w:val="20"/>
                <w:lang w:val="fr-FR"/>
              </w:rPr>
              <w:t>Technique</w:t>
            </w:r>
            <w:r w:rsidRPr="00EE01B4">
              <w:rPr>
                <w:rFonts w:cs="Arial"/>
                <w:sz w:val="20"/>
                <w:szCs w:val="20"/>
                <w:lang w:val="fr-FR"/>
              </w:rPr>
              <w:t>/ Scientifique</w:t>
            </w:r>
          </w:p>
        </w:tc>
        <w:tc>
          <w:tcPr>
            <w:tcW w:w="2582" w:type="dxa"/>
          </w:tcPr>
          <w:p w:rsidR="0025591A" w:rsidRPr="00EE01B4" w:rsidRDefault="0025591A" w:rsidP="00B5352E">
            <w:pPr>
              <w:rPr>
                <w:rFonts w:cs="Arial"/>
                <w:sz w:val="20"/>
                <w:szCs w:val="20"/>
                <w:lang w:val="fr-FR"/>
              </w:rPr>
            </w:pPr>
            <w:r w:rsidRPr="00EE01B4">
              <w:rPr>
                <w:rFonts w:cs="Arial"/>
                <w:sz w:val="20"/>
                <w:szCs w:val="20"/>
                <w:lang w:val="fr-FR"/>
              </w:rPr>
              <w:t>Praticiens, scientifiques</w:t>
            </w:r>
          </w:p>
        </w:tc>
        <w:tc>
          <w:tcPr>
            <w:tcW w:w="1259" w:type="dxa"/>
          </w:tcPr>
          <w:p w:rsidR="0025591A" w:rsidRPr="00EE01B4" w:rsidRDefault="0025591A" w:rsidP="00B5352E">
            <w:pPr>
              <w:rPr>
                <w:rFonts w:cs="Arial"/>
                <w:sz w:val="20"/>
                <w:szCs w:val="20"/>
                <w:lang w:val="fr-FR"/>
              </w:rPr>
            </w:pPr>
            <w:r w:rsidRPr="00EE01B4">
              <w:rPr>
                <w:rFonts w:cs="Arial"/>
                <w:sz w:val="20"/>
                <w:szCs w:val="20"/>
                <w:lang w:val="fr-FR"/>
              </w:rPr>
              <w:t>11</w:t>
            </w:r>
          </w:p>
        </w:tc>
        <w:tc>
          <w:tcPr>
            <w:tcW w:w="1259" w:type="dxa"/>
          </w:tcPr>
          <w:p w:rsidR="0025591A" w:rsidRPr="00EE01B4" w:rsidRDefault="0025591A" w:rsidP="00B5352E">
            <w:pPr>
              <w:spacing w:after="100"/>
              <w:rPr>
                <w:sz w:val="20"/>
                <w:szCs w:val="20"/>
                <w:lang w:val="fr-FR"/>
              </w:rPr>
            </w:pPr>
            <w:r w:rsidRPr="00EE01B4">
              <w:rPr>
                <w:sz w:val="20"/>
                <w:szCs w:val="20"/>
                <w:lang w:val="fr-FR"/>
              </w:rPr>
              <w:t>EFS</w:t>
            </w:r>
          </w:p>
        </w:tc>
        <w:tc>
          <w:tcPr>
            <w:tcW w:w="5293" w:type="dxa"/>
          </w:tcPr>
          <w:p w:rsidR="0025591A" w:rsidRPr="00EE01B4" w:rsidRDefault="0025591A" w:rsidP="00B5352E">
            <w:pPr>
              <w:spacing w:after="40"/>
              <w:rPr>
                <w:sz w:val="20"/>
                <w:szCs w:val="20"/>
                <w:lang w:val="fr-FR"/>
              </w:rPr>
            </w:pPr>
          </w:p>
        </w:tc>
      </w:tr>
      <w:tr w:rsidR="0025591A" w:rsidRPr="00EE01B4" w:rsidTr="004D1A4F">
        <w:tblPrEx>
          <w:tblBorders>
            <w:bottom w:val="single" w:sz="4" w:space="0" w:color="auto"/>
            <w:insideH w:val="single" w:sz="4" w:space="0" w:color="auto"/>
            <w:insideV w:val="single" w:sz="4" w:space="0" w:color="auto"/>
          </w:tblBorders>
        </w:tblPrEx>
        <w:tc>
          <w:tcPr>
            <w:tcW w:w="3053" w:type="dxa"/>
          </w:tcPr>
          <w:p w:rsidR="0025591A" w:rsidRPr="00EE01B4" w:rsidRDefault="00DF180B" w:rsidP="00B5352E">
            <w:pPr>
              <w:spacing w:after="40"/>
              <w:rPr>
                <w:sz w:val="20"/>
                <w:szCs w:val="20"/>
                <w:lang w:val="fr-FR"/>
              </w:rPr>
            </w:pPr>
            <w:hyperlink r:id="rId134" w:history="1">
              <w:r w:rsidR="0025591A" w:rsidRPr="00EE01B4">
                <w:rPr>
                  <w:rStyle w:val="Hyperlink"/>
                  <w:sz w:val="20"/>
                  <w:szCs w:val="20"/>
                  <w:lang w:val="fr-FR"/>
                </w:rPr>
                <w:t xml:space="preserve">Résolution IX.4 : La Convention de </w:t>
              </w:r>
              <w:r w:rsidR="0025591A" w:rsidRPr="00EE01B4">
                <w:rPr>
                  <w:rStyle w:val="Hyperlink"/>
                  <w:sz w:val="20"/>
                  <w:szCs w:val="20"/>
                  <w:lang w:val="fr-FR"/>
                </w:rPr>
                <w:lastRenderedPageBreak/>
                <w:t>Ramsar et la conservation, la production et l’utilisation durable des ressources halieutiques</w:t>
              </w:r>
            </w:hyperlink>
          </w:p>
        </w:tc>
        <w:tc>
          <w:tcPr>
            <w:tcW w:w="2168" w:type="dxa"/>
          </w:tcPr>
          <w:p w:rsidR="0025591A" w:rsidRPr="00EE01B4" w:rsidRDefault="0025591A" w:rsidP="00B5352E">
            <w:pPr>
              <w:rPr>
                <w:rFonts w:cs="Arial"/>
                <w:sz w:val="20"/>
                <w:szCs w:val="20"/>
                <w:lang w:val="fr-FR"/>
              </w:rPr>
            </w:pPr>
            <w:r w:rsidRPr="00EE01B4">
              <w:rPr>
                <w:sz w:val="20"/>
                <w:szCs w:val="20"/>
                <w:lang w:val="fr-FR"/>
              </w:rPr>
              <w:lastRenderedPageBreak/>
              <w:t>Technique</w:t>
            </w:r>
          </w:p>
        </w:tc>
        <w:tc>
          <w:tcPr>
            <w:tcW w:w="2582" w:type="dxa"/>
          </w:tcPr>
          <w:p w:rsidR="0025591A" w:rsidRPr="00EE01B4" w:rsidRDefault="0025591A" w:rsidP="00B5352E">
            <w:pPr>
              <w:rPr>
                <w:rFonts w:cs="Arial"/>
                <w:sz w:val="20"/>
                <w:szCs w:val="20"/>
                <w:lang w:val="fr-FR"/>
              </w:rPr>
            </w:pPr>
            <w:r w:rsidRPr="00EE01B4">
              <w:rPr>
                <w:rFonts w:cs="Arial"/>
                <w:sz w:val="20"/>
                <w:szCs w:val="20"/>
                <w:lang w:val="fr-FR"/>
              </w:rPr>
              <w:t>Décideurs, praticiens</w:t>
            </w:r>
          </w:p>
        </w:tc>
        <w:tc>
          <w:tcPr>
            <w:tcW w:w="1259" w:type="dxa"/>
          </w:tcPr>
          <w:p w:rsidR="0025591A" w:rsidRPr="00EE01B4" w:rsidRDefault="0025591A" w:rsidP="00B5352E">
            <w:pPr>
              <w:rPr>
                <w:rFonts w:cs="Arial"/>
                <w:sz w:val="20"/>
                <w:szCs w:val="20"/>
                <w:lang w:val="fr-FR"/>
              </w:rPr>
            </w:pPr>
            <w:r w:rsidRPr="00EE01B4">
              <w:rPr>
                <w:rFonts w:cs="Arial"/>
                <w:sz w:val="20"/>
                <w:szCs w:val="20"/>
                <w:lang w:val="fr-FR"/>
              </w:rPr>
              <w:t>18</w:t>
            </w:r>
          </w:p>
        </w:tc>
        <w:tc>
          <w:tcPr>
            <w:tcW w:w="1259" w:type="dxa"/>
          </w:tcPr>
          <w:p w:rsidR="0025591A" w:rsidRPr="00EE01B4" w:rsidRDefault="0025591A" w:rsidP="00B5352E">
            <w:pPr>
              <w:spacing w:after="100"/>
              <w:rPr>
                <w:sz w:val="20"/>
                <w:szCs w:val="20"/>
                <w:lang w:val="fr-FR"/>
              </w:rPr>
            </w:pPr>
            <w:r w:rsidRPr="00EE01B4">
              <w:rPr>
                <w:sz w:val="20"/>
                <w:szCs w:val="20"/>
                <w:lang w:val="fr-FR"/>
              </w:rPr>
              <w:t>EFS</w:t>
            </w:r>
          </w:p>
        </w:tc>
        <w:tc>
          <w:tcPr>
            <w:tcW w:w="5293" w:type="dxa"/>
          </w:tcPr>
          <w:p w:rsidR="0025591A" w:rsidRPr="00EE01B4" w:rsidRDefault="0025591A" w:rsidP="00B5352E">
            <w:pPr>
              <w:spacing w:after="40"/>
              <w:rPr>
                <w:sz w:val="20"/>
                <w:szCs w:val="20"/>
                <w:lang w:val="fr-FR"/>
              </w:rPr>
            </w:pPr>
          </w:p>
        </w:tc>
      </w:tr>
      <w:tr w:rsidR="0025591A" w:rsidRPr="00EE01B4" w:rsidTr="004D1A4F">
        <w:tblPrEx>
          <w:tblBorders>
            <w:bottom w:val="single" w:sz="4" w:space="0" w:color="auto"/>
            <w:insideH w:val="single" w:sz="4" w:space="0" w:color="auto"/>
            <w:insideV w:val="single" w:sz="4" w:space="0" w:color="auto"/>
          </w:tblBorders>
        </w:tblPrEx>
        <w:tc>
          <w:tcPr>
            <w:tcW w:w="3053" w:type="dxa"/>
          </w:tcPr>
          <w:p w:rsidR="0025591A" w:rsidRPr="00EE01B4" w:rsidRDefault="00DF180B" w:rsidP="00B5352E">
            <w:pPr>
              <w:spacing w:after="40"/>
              <w:rPr>
                <w:sz w:val="20"/>
                <w:szCs w:val="20"/>
                <w:lang w:val="fr-FR"/>
              </w:rPr>
            </w:pPr>
            <w:hyperlink r:id="rId135" w:history="1">
              <w:r w:rsidR="0025591A" w:rsidRPr="00EE01B4">
                <w:rPr>
                  <w:rStyle w:val="Hyperlink"/>
                  <w:sz w:val="20"/>
                  <w:szCs w:val="20"/>
                  <w:lang w:val="fr-FR"/>
                </w:rPr>
                <w:t>Résolution VIII.1 : Lignes directrices relatives à l’attribution et à la gestion de l’eau en vue de maintenir les fonctions écologiques des zones humides</w:t>
              </w:r>
            </w:hyperlink>
          </w:p>
        </w:tc>
        <w:tc>
          <w:tcPr>
            <w:tcW w:w="2168" w:type="dxa"/>
          </w:tcPr>
          <w:p w:rsidR="0025591A" w:rsidRPr="00EE01B4" w:rsidRDefault="0025591A" w:rsidP="00B5352E">
            <w:pPr>
              <w:rPr>
                <w:rFonts w:cs="Arial"/>
                <w:sz w:val="20"/>
                <w:szCs w:val="20"/>
                <w:lang w:val="fr-FR"/>
              </w:rPr>
            </w:pPr>
            <w:r w:rsidRPr="00EE01B4">
              <w:rPr>
                <w:sz w:val="20"/>
                <w:szCs w:val="20"/>
                <w:lang w:val="fr-FR"/>
              </w:rPr>
              <w:t>Technique</w:t>
            </w:r>
            <w:r w:rsidRPr="00EE01B4">
              <w:rPr>
                <w:rFonts w:cs="Arial"/>
                <w:sz w:val="20"/>
                <w:szCs w:val="20"/>
                <w:lang w:val="fr-FR"/>
              </w:rPr>
              <w:t>/ Scientifique</w:t>
            </w:r>
          </w:p>
        </w:tc>
        <w:tc>
          <w:tcPr>
            <w:tcW w:w="2582" w:type="dxa"/>
          </w:tcPr>
          <w:p w:rsidR="0025591A" w:rsidRPr="00EE01B4" w:rsidRDefault="0025591A" w:rsidP="00B5352E">
            <w:pPr>
              <w:rPr>
                <w:rFonts w:cs="Arial"/>
                <w:sz w:val="20"/>
                <w:szCs w:val="20"/>
                <w:lang w:val="fr-FR"/>
              </w:rPr>
            </w:pPr>
            <w:r w:rsidRPr="00EE01B4">
              <w:rPr>
                <w:rFonts w:cs="Arial"/>
                <w:sz w:val="20"/>
                <w:szCs w:val="20"/>
                <w:lang w:val="fr-FR"/>
              </w:rPr>
              <w:t>Praticiens, décideurs</w:t>
            </w:r>
          </w:p>
        </w:tc>
        <w:tc>
          <w:tcPr>
            <w:tcW w:w="1259" w:type="dxa"/>
          </w:tcPr>
          <w:p w:rsidR="0025591A" w:rsidRPr="00EE01B4" w:rsidRDefault="0025591A" w:rsidP="00B5352E">
            <w:pPr>
              <w:rPr>
                <w:rFonts w:cs="Arial"/>
                <w:sz w:val="20"/>
                <w:szCs w:val="20"/>
                <w:lang w:val="fr-FR"/>
              </w:rPr>
            </w:pPr>
            <w:r w:rsidRPr="00EE01B4">
              <w:rPr>
                <w:rFonts w:cs="Arial"/>
                <w:sz w:val="20"/>
                <w:szCs w:val="20"/>
                <w:lang w:val="fr-FR"/>
              </w:rPr>
              <w:t>10</w:t>
            </w:r>
          </w:p>
        </w:tc>
        <w:tc>
          <w:tcPr>
            <w:tcW w:w="1259" w:type="dxa"/>
          </w:tcPr>
          <w:p w:rsidR="0025591A" w:rsidRPr="00EE01B4" w:rsidRDefault="0025591A" w:rsidP="00B5352E">
            <w:pPr>
              <w:spacing w:after="100"/>
              <w:rPr>
                <w:sz w:val="20"/>
                <w:szCs w:val="20"/>
                <w:lang w:val="fr-FR"/>
              </w:rPr>
            </w:pPr>
            <w:r w:rsidRPr="00EE01B4">
              <w:rPr>
                <w:sz w:val="20"/>
                <w:szCs w:val="20"/>
                <w:lang w:val="fr-FR"/>
              </w:rPr>
              <w:t>EFS</w:t>
            </w:r>
          </w:p>
        </w:tc>
        <w:tc>
          <w:tcPr>
            <w:tcW w:w="5293" w:type="dxa"/>
          </w:tcPr>
          <w:p w:rsidR="0025591A" w:rsidRPr="00EE01B4" w:rsidRDefault="0025591A" w:rsidP="00B5352E">
            <w:pPr>
              <w:spacing w:after="40"/>
              <w:rPr>
                <w:sz w:val="20"/>
                <w:szCs w:val="20"/>
                <w:lang w:val="fr-FR"/>
              </w:rPr>
            </w:pPr>
          </w:p>
        </w:tc>
      </w:tr>
      <w:tr w:rsidR="0025591A" w:rsidRPr="00EE01B4" w:rsidTr="004D1A4F">
        <w:tblPrEx>
          <w:tblBorders>
            <w:bottom w:val="single" w:sz="4" w:space="0" w:color="auto"/>
            <w:insideH w:val="single" w:sz="4" w:space="0" w:color="auto"/>
            <w:insideV w:val="single" w:sz="4" w:space="0" w:color="auto"/>
          </w:tblBorders>
        </w:tblPrEx>
        <w:tc>
          <w:tcPr>
            <w:tcW w:w="3053" w:type="dxa"/>
          </w:tcPr>
          <w:p w:rsidR="0025591A" w:rsidRPr="00EE01B4" w:rsidRDefault="00DF180B" w:rsidP="00221134">
            <w:pPr>
              <w:spacing w:after="40"/>
              <w:rPr>
                <w:sz w:val="20"/>
                <w:szCs w:val="20"/>
                <w:lang w:val="fr-FR"/>
              </w:rPr>
            </w:pPr>
            <w:hyperlink r:id="rId136" w:history="1">
              <w:r w:rsidR="0025591A" w:rsidRPr="00EE01B4">
                <w:rPr>
                  <w:rStyle w:val="Hyperlink"/>
                  <w:sz w:val="20"/>
                  <w:szCs w:val="20"/>
                  <w:lang w:val="fr-FR"/>
                </w:rPr>
                <w:t>Résolution VIII.4 : Questions relatives aux zones humides dans la gestion intégrée des zones côtières (GIZC)</w:t>
              </w:r>
            </w:hyperlink>
          </w:p>
        </w:tc>
        <w:tc>
          <w:tcPr>
            <w:tcW w:w="2168" w:type="dxa"/>
          </w:tcPr>
          <w:p w:rsidR="0025591A" w:rsidRPr="00EE01B4" w:rsidRDefault="0025591A" w:rsidP="00B5352E">
            <w:pPr>
              <w:rPr>
                <w:rFonts w:cs="Arial"/>
                <w:sz w:val="20"/>
                <w:szCs w:val="20"/>
                <w:lang w:val="fr-FR"/>
              </w:rPr>
            </w:pPr>
            <w:r w:rsidRPr="00EE01B4">
              <w:rPr>
                <w:sz w:val="20"/>
                <w:szCs w:val="20"/>
                <w:lang w:val="fr-FR"/>
              </w:rPr>
              <w:t>Technique</w:t>
            </w:r>
          </w:p>
        </w:tc>
        <w:tc>
          <w:tcPr>
            <w:tcW w:w="2582" w:type="dxa"/>
          </w:tcPr>
          <w:p w:rsidR="0025591A" w:rsidRPr="00EE01B4" w:rsidRDefault="0025591A" w:rsidP="00B5352E">
            <w:pPr>
              <w:rPr>
                <w:rFonts w:cs="Arial"/>
                <w:sz w:val="20"/>
                <w:szCs w:val="20"/>
                <w:lang w:val="fr-FR"/>
              </w:rPr>
            </w:pPr>
            <w:r w:rsidRPr="00EE01B4">
              <w:rPr>
                <w:rFonts w:cs="Arial"/>
                <w:sz w:val="20"/>
                <w:szCs w:val="20"/>
                <w:lang w:val="fr-FR"/>
              </w:rPr>
              <w:t>Décideurs, praticiens</w:t>
            </w:r>
          </w:p>
        </w:tc>
        <w:tc>
          <w:tcPr>
            <w:tcW w:w="1259" w:type="dxa"/>
          </w:tcPr>
          <w:p w:rsidR="0025591A" w:rsidRPr="00EE01B4" w:rsidRDefault="0025591A" w:rsidP="00B5352E">
            <w:pPr>
              <w:rPr>
                <w:rFonts w:cs="Arial"/>
                <w:sz w:val="20"/>
                <w:szCs w:val="20"/>
                <w:lang w:val="fr-FR"/>
              </w:rPr>
            </w:pPr>
            <w:r w:rsidRPr="00EE01B4">
              <w:rPr>
                <w:rFonts w:cs="Arial"/>
                <w:sz w:val="20"/>
                <w:szCs w:val="20"/>
                <w:lang w:val="fr-FR"/>
              </w:rPr>
              <w:t>11</w:t>
            </w:r>
          </w:p>
        </w:tc>
        <w:tc>
          <w:tcPr>
            <w:tcW w:w="1259" w:type="dxa"/>
          </w:tcPr>
          <w:p w:rsidR="0025591A" w:rsidRPr="00EE01B4" w:rsidRDefault="0025591A" w:rsidP="00B5352E">
            <w:pPr>
              <w:spacing w:after="100"/>
              <w:rPr>
                <w:sz w:val="20"/>
                <w:szCs w:val="20"/>
                <w:lang w:val="fr-FR"/>
              </w:rPr>
            </w:pPr>
            <w:r w:rsidRPr="00EE01B4">
              <w:rPr>
                <w:sz w:val="20"/>
                <w:szCs w:val="20"/>
                <w:lang w:val="fr-FR"/>
              </w:rPr>
              <w:t>EFS</w:t>
            </w:r>
          </w:p>
        </w:tc>
        <w:tc>
          <w:tcPr>
            <w:tcW w:w="5293" w:type="dxa"/>
          </w:tcPr>
          <w:p w:rsidR="0025591A" w:rsidRPr="00EE01B4" w:rsidRDefault="0025591A" w:rsidP="00B5352E">
            <w:pPr>
              <w:spacing w:after="40"/>
              <w:rPr>
                <w:sz w:val="20"/>
                <w:szCs w:val="20"/>
                <w:lang w:val="fr-FR"/>
              </w:rPr>
            </w:pPr>
          </w:p>
        </w:tc>
      </w:tr>
      <w:tr w:rsidR="0025591A" w:rsidRPr="00EE01B4" w:rsidTr="004D1A4F">
        <w:tblPrEx>
          <w:tblBorders>
            <w:bottom w:val="single" w:sz="4" w:space="0" w:color="auto"/>
            <w:insideH w:val="single" w:sz="4" w:space="0" w:color="auto"/>
            <w:insideV w:val="single" w:sz="4" w:space="0" w:color="auto"/>
          </w:tblBorders>
        </w:tblPrEx>
        <w:tc>
          <w:tcPr>
            <w:tcW w:w="3053" w:type="dxa"/>
          </w:tcPr>
          <w:p w:rsidR="0025591A" w:rsidRPr="00EE01B4" w:rsidRDefault="00DF180B" w:rsidP="00221134">
            <w:pPr>
              <w:spacing w:after="40"/>
              <w:rPr>
                <w:sz w:val="20"/>
                <w:szCs w:val="20"/>
                <w:lang w:val="fr-FR"/>
              </w:rPr>
            </w:pPr>
            <w:hyperlink r:id="rId137" w:history="1">
              <w:r w:rsidR="0025591A" w:rsidRPr="00EE01B4">
                <w:rPr>
                  <w:rStyle w:val="Hyperlink"/>
                  <w:sz w:val="20"/>
                  <w:szCs w:val="20"/>
                  <w:lang w:val="fr-FR"/>
                </w:rPr>
                <w:t>Résolution VIII.17 : Lignes directrices relatives à une action mondiale pour les tourbières</w:t>
              </w:r>
            </w:hyperlink>
          </w:p>
        </w:tc>
        <w:tc>
          <w:tcPr>
            <w:tcW w:w="2168" w:type="dxa"/>
          </w:tcPr>
          <w:p w:rsidR="0025591A" w:rsidRPr="00EE01B4" w:rsidRDefault="0025591A" w:rsidP="00B5352E">
            <w:pPr>
              <w:rPr>
                <w:rFonts w:cs="Arial"/>
                <w:sz w:val="20"/>
                <w:szCs w:val="20"/>
                <w:lang w:val="fr-FR"/>
              </w:rPr>
            </w:pPr>
            <w:r w:rsidRPr="00EE01B4">
              <w:rPr>
                <w:sz w:val="20"/>
                <w:szCs w:val="20"/>
                <w:lang w:val="fr-FR"/>
              </w:rPr>
              <w:t>Technique</w:t>
            </w:r>
          </w:p>
        </w:tc>
        <w:tc>
          <w:tcPr>
            <w:tcW w:w="2582" w:type="dxa"/>
          </w:tcPr>
          <w:p w:rsidR="0025591A" w:rsidRPr="00EE01B4" w:rsidRDefault="0025591A" w:rsidP="00B5352E">
            <w:pPr>
              <w:rPr>
                <w:rFonts w:cs="Arial"/>
                <w:sz w:val="20"/>
                <w:szCs w:val="20"/>
                <w:lang w:val="fr-FR"/>
              </w:rPr>
            </w:pPr>
            <w:r w:rsidRPr="00EE01B4">
              <w:rPr>
                <w:rFonts w:cs="Arial"/>
                <w:sz w:val="20"/>
                <w:szCs w:val="20"/>
                <w:lang w:val="fr-FR"/>
              </w:rPr>
              <w:t>Décideurs, praticiens</w:t>
            </w:r>
          </w:p>
        </w:tc>
        <w:tc>
          <w:tcPr>
            <w:tcW w:w="1259" w:type="dxa"/>
          </w:tcPr>
          <w:p w:rsidR="0025591A" w:rsidRPr="00EE01B4" w:rsidRDefault="0025591A" w:rsidP="00B5352E">
            <w:pPr>
              <w:rPr>
                <w:rFonts w:cs="Arial"/>
                <w:sz w:val="20"/>
                <w:szCs w:val="20"/>
                <w:lang w:val="fr-FR"/>
              </w:rPr>
            </w:pPr>
            <w:r w:rsidRPr="00EE01B4">
              <w:rPr>
                <w:rFonts w:cs="Arial"/>
                <w:sz w:val="20"/>
                <w:szCs w:val="20"/>
                <w:lang w:val="fr-FR"/>
              </w:rPr>
              <w:t>15, 18</w:t>
            </w:r>
          </w:p>
        </w:tc>
        <w:tc>
          <w:tcPr>
            <w:tcW w:w="1259" w:type="dxa"/>
          </w:tcPr>
          <w:p w:rsidR="0025591A" w:rsidRPr="00EE01B4" w:rsidRDefault="0025591A" w:rsidP="00B5352E">
            <w:pPr>
              <w:spacing w:after="100"/>
              <w:rPr>
                <w:sz w:val="20"/>
                <w:szCs w:val="20"/>
                <w:lang w:val="fr-FR"/>
              </w:rPr>
            </w:pPr>
            <w:r w:rsidRPr="00EE01B4">
              <w:rPr>
                <w:sz w:val="20"/>
                <w:szCs w:val="20"/>
                <w:lang w:val="fr-FR"/>
              </w:rPr>
              <w:t>EFS</w:t>
            </w:r>
          </w:p>
        </w:tc>
        <w:tc>
          <w:tcPr>
            <w:tcW w:w="5293" w:type="dxa"/>
          </w:tcPr>
          <w:p w:rsidR="0025591A" w:rsidRPr="00EE01B4" w:rsidRDefault="0025591A" w:rsidP="00B5352E">
            <w:pPr>
              <w:spacing w:after="40"/>
              <w:rPr>
                <w:sz w:val="20"/>
                <w:szCs w:val="20"/>
                <w:lang w:val="fr-FR"/>
              </w:rPr>
            </w:pPr>
          </w:p>
        </w:tc>
      </w:tr>
      <w:tr w:rsidR="0025591A" w:rsidRPr="00EE01B4" w:rsidTr="004D1A4F">
        <w:tblPrEx>
          <w:tblBorders>
            <w:bottom w:val="single" w:sz="4" w:space="0" w:color="auto"/>
            <w:insideH w:val="single" w:sz="4" w:space="0" w:color="auto"/>
            <w:insideV w:val="single" w:sz="4" w:space="0" w:color="auto"/>
          </w:tblBorders>
        </w:tblPrEx>
        <w:tc>
          <w:tcPr>
            <w:tcW w:w="3053" w:type="dxa"/>
          </w:tcPr>
          <w:p w:rsidR="0025591A" w:rsidRPr="00EE01B4" w:rsidRDefault="0025591A" w:rsidP="00221134">
            <w:pPr>
              <w:spacing w:after="40"/>
              <w:rPr>
                <w:sz w:val="20"/>
                <w:szCs w:val="20"/>
                <w:lang w:val="fr-FR"/>
              </w:rPr>
            </w:pPr>
            <w:r w:rsidRPr="00EE01B4">
              <w:rPr>
                <w:sz w:val="20"/>
                <w:szCs w:val="20"/>
                <w:lang w:val="fr-FR"/>
              </w:rPr>
              <w:t>R</w:t>
            </w:r>
            <w:hyperlink r:id="rId138" w:history="1">
              <w:r w:rsidRPr="00EE01B4">
                <w:rPr>
                  <w:rStyle w:val="Hyperlink"/>
                  <w:sz w:val="20"/>
                  <w:szCs w:val="20"/>
                  <w:lang w:val="fr-FR"/>
                </w:rPr>
                <w:t>ésolution VII.7 : Lignes directrices pour l’étude des lois et des institutions en vue de promouvoir la Conservation et l’utilisation rationnelle des zones humides</w:t>
              </w:r>
            </w:hyperlink>
          </w:p>
        </w:tc>
        <w:tc>
          <w:tcPr>
            <w:tcW w:w="2168" w:type="dxa"/>
          </w:tcPr>
          <w:p w:rsidR="0025591A" w:rsidRPr="00EE01B4" w:rsidRDefault="0025591A" w:rsidP="00B5352E">
            <w:pPr>
              <w:rPr>
                <w:rFonts w:cs="Arial"/>
                <w:sz w:val="20"/>
                <w:szCs w:val="20"/>
                <w:lang w:val="fr-FR"/>
              </w:rPr>
            </w:pPr>
            <w:r w:rsidRPr="00EE01B4">
              <w:rPr>
                <w:sz w:val="20"/>
                <w:szCs w:val="20"/>
                <w:lang w:val="fr-FR"/>
              </w:rPr>
              <w:t>Technique</w:t>
            </w:r>
          </w:p>
        </w:tc>
        <w:tc>
          <w:tcPr>
            <w:tcW w:w="2582" w:type="dxa"/>
          </w:tcPr>
          <w:p w:rsidR="0025591A" w:rsidRPr="00EE01B4" w:rsidRDefault="0025591A" w:rsidP="00B5352E">
            <w:pPr>
              <w:rPr>
                <w:rFonts w:cs="Arial"/>
                <w:sz w:val="20"/>
                <w:szCs w:val="20"/>
                <w:lang w:val="fr-FR"/>
              </w:rPr>
            </w:pPr>
            <w:r w:rsidRPr="00EE01B4">
              <w:rPr>
                <w:rFonts w:cs="Arial"/>
                <w:sz w:val="20"/>
                <w:szCs w:val="20"/>
                <w:lang w:val="fr-FR"/>
              </w:rPr>
              <w:t>Décideurs</w:t>
            </w:r>
          </w:p>
        </w:tc>
        <w:tc>
          <w:tcPr>
            <w:tcW w:w="1259" w:type="dxa"/>
          </w:tcPr>
          <w:p w:rsidR="0025591A" w:rsidRPr="00EE01B4" w:rsidRDefault="0025591A" w:rsidP="00B5352E">
            <w:pPr>
              <w:rPr>
                <w:rFonts w:cs="Arial"/>
                <w:sz w:val="20"/>
                <w:szCs w:val="20"/>
                <w:lang w:val="fr-FR"/>
              </w:rPr>
            </w:pPr>
            <w:r w:rsidRPr="00EE01B4">
              <w:rPr>
                <w:rFonts w:cs="Arial"/>
                <w:sz w:val="20"/>
                <w:szCs w:val="20"/>
                <w:lang w:val="fr-FR"/>
              </w:rPr>
              <w:t>3</w:t>
            </w:r>
          </w:p>
        </w:tc>
        <w:tc>
          <w:tcPr>
            <w:tcW w:w="1259" w:type="dxa"/>
          </w:tcPr>
          <w:p w:rsidR="0025591A" w:rsidRPr="00EE01B4" w:rsidRDefault="0025591A" w:rsidP="00B5352E">
            <w:pPr>
              <w:spacing w:after="100"/>
              <w:rPr>
                <w:sz w:val="20"/>
                <w:szCs w:val="20"/>
                <w:lang w:val="fr-FR"/>
              </w:rPr>
            </w:pPr>
            <w:r w:rsidRPr="00EE01B4">
              <w:rPr>
                <w:sz w:val="20"/>
                <w:szCs w:val="20"/>
                <w:lang w:val="fr-FR"/>
              </w:rPr>
              <w:t>EFS</w:t>
            </w:r>
          </w:p>
        </w:tc>
        <w:tc>
          <w:tcPr>
            <w:tcW w:w="5293" w:type="dxa"/>
          </w:tcPr>
          <w:p w:rsidR="0025591A" w:rsidRPr="00EE01B4" w:rsidRDefault="0025591A" w:rsidP="00B5352E">
            <w:pPr>
              <w:spacing w:after="40"/>
              <w:rPr>
                <w:sz w:val="20"/>
                <w:szCs w:val="20"/>
                <w:lang w:val="fr-FR"/>
              </w:rPr>
            </w:pPr>
          </w:p>
        </w:tc>
      </w:tr>
      <w:tr w:rsidR="0025591A" w:rsidRPr="00EE01B4" w:rsidTr="004D1A4F">
        <w:tblPrEx>
          <w:tblBorders>
            <w:bottom w:val="single" w:sz="4" w:space="0" w:color="auto"/>
            <w:insideH w:val="single" w:sz="4" w:space="0" w:color="auto"/>
            <w:insideV w:val="single" w:sz="4" w:space="0" w:color="auto"/>
          </w:tblBorders>
        </w:tblPrEx>
        <w:tc>
          <w:tcPr>
            <w:tcW w:w="3053" w:type="dxa"/>
          </w:tcPr>
          <w:p w:rsidR="0025591A" w:rsidRPr="00EE01B4" w:rsidRDefault="00DF180B" w:rsidP="00B5352E">
            <w:pPr>
              <w:spacing w:after="40"/>
              <w:rPr>
                <w:sz w:val="20"/>
                <w:szCs w:val="20"/>
                <w:lang w:val="en-GB"/>
              </w:rPr>
            </w:pPr>
            <w:hyperlink r:id="rId139" w:history="1">
              <w:r w:rsidR="0025591A" w:rsidRPr="00EE01B4">
                <w:rPr>
                  <w:rStyle w:val="Hyperlink"/>
                  <w:sz w:val="20"/>
                  <w:szCs w:val="20"/>
                  <w:lang w:val="en-GB"/>
                </w:rPr>
                <w:t>COP11 DOC. 28: Supporting information on wetlands and energy issues (</w:t>
              </w:r>
            </w:hyperlink>
            <w:r w:rsidR="0025591A" w:rsidRPr="00EE01B4">
              <w:rPr>
                <w:rStyle w:val="Hyperlink"/>
                <w:sz w:val="20"/>
                <w:szCs w:val="20"/>
                <w:lang w:val="en-GB"/>
              </w:rPr>
              <w:t>Resolution XI.10)</w:t>
            </w:r>
          </w:p>
        </w:tc>
        <w:tc>
          <w:tcPr>
            <w:tcW w:w="2168" w:type="dxa"/>
          </w:tcPr>
          <w:p w:rsidR="0025591A" w:rsidRPr="00EE01B4" w:rsidRDefault="0025591A" w:rsidP="00B5352E">
            <w:pPr>
              <w:rPr>
                <w:rFonts w:cs="Arial"/>
                <w:sz w:val="20"/>
                <w:szCs w:val="20"/>
                <w:lang w:val="fr-FR"/>
              </w:rPr>
            </w:pPr>
            <w:r w:rsidRPr="00EE01B4">
              <w:rPr>
                <w:sz w:val="20"/>
                <w:szCs w:val="20"/>
                <w:lang w:val="fr-FR"/>
              </w:rPr>
              <w:t>Technique</w:t>
            </w:r>
          </w:p>
        </w:tc>
        <w:tc>
          <w:tcPr>
            <w:tcW w:w="2582" w:type="dxa"/>
          </w:tcPr>
          <w:p w:rsidR="0025591A" w:rsidRPr="00EE01B4" w:rsidRDefault="0025591A" w:rsidP="00B5352E">
            <w:pPr>
              <w:rPr>
                <w:rFonts w:cs="Arial"/>
                <w:sz w:val="20"/>
                <w:szCs w:val="20"/>
                <w:lang w:val="fr-FR"/>
              </w:rPr>
            </w:pPr>
            <w:r w:rsidRPr="00EE01B4">
              <w:rPr>
                <w:rFonts w:cs="Arial"/>
                <w:sz w:val="20"/>
                <w:szCs w:val="20"/>
                <w:lang w:val="fr-FR"/>
              </w:rPr>
              <w:t>Décideurs, praticiens</w:t>
            </w:r>
          </w:p>
        </w:tc>
        <w:tc>
          <w:tcPr>
            <w:tcW w:w="1259" w:type="dxa"/>
          </w:tcPr>
          <w:p w:rsidR="0025591A" w:rsidRPr="00EE01B4" w:rsidRDefault="0025591A" w:rsidP="00B5352E">
            <w:pPr>
              <w:rPr>
                <w:rFonts w:cs="Arial"/>
                <w:sz w:val="20"/>
                <w:szCs w:val="20"/>
                <w:lang w:val="fr-FR"/>
              </w:rPr>
            </w:pPr>
          </w:p>
        </w:tc>
        <w:tc>
          <w:tcPr>
            <w:tcW w:w="1259" w:type="dxa"/>
          </w:tcPr>
          <w:p w:rsidR="0025591A" w:rsidRPr="00EE01B4" w:rsidRDefault="0025591A" w:rsidP="00B5352E">
            <w:pPr>
              <w:spacing w:after="100"/>
              <w:rPr>
                <w:sz w:val="20"/>
                <w:szCs w:val="20"/>
                <w:lang w:val="fr-FR"/>
              </w:rPr>
            </w:pPr>
            <w:r w:rsidRPr="00EE01B4">
              <w:rPr>
                <w:sz w:val="20"/>
                <w:szCs w:val="20"/>
                <w:lang w:val="fr-FR"/>
              </w:rPr>
              <w:t>E</w:t>
            </w:r>
          </w:p>
        </w:tc>
        <w:tc>
          <w:tcPr>
            <w:tcW w:w="5293" w:type="dxa"/>
          </w:tcPr>
          <w:p w:rsidR="0025591A" w:rsidRPr="00EE01B4" w:rsidRDefault="0025591A" w:rsidP="007E028F">
            <w:pPr>
              <w:spacing w:after="40"/>
              <w:rPr>
                <w:sz w:val="20"/>
                <w:szCs w:val="20"/>
                <w:lang w:val="fr-FR"/>
              </w:rPr>
            </w:pPr>
            <w:r w:rsidRPr="00EE01B4">
              <w:rPr>
                <w:rFonts w:cs="Arial"/>
                <w:sz w:val="20"/>
                <w:szCs w:val="20"/>
                <w:u w:val="single"/>
                <w:lang w:val="fr-FR"/>
              </w:rPr>
              <w:t>Résumé</w:t>
            </w:r>
            <w:r w:rsidRPr="00EE01B4">
              <w:rPr>
                <w:rFonts w:cs="Arial"/>
                <w:sz w:val="20"/>
                <w:szCs w:val="20"/>
                <w:lang w:val="fr-FR"/>
              </w:rPr>
              <w:t xml:space="preserve"> : Dans le plan de travail du Groupe d’évaluation scientifique et technique (GEST) </w:t>
            </w:r>
            <w:r w:rsidRPr="00EE01B4">
              <w:rPr>
                <w:sz w:val="20"/>
                <w:szCs w:val="20"/>
                <w:lang w:val="fr-FR"/>
              </w:rPr>
              <w:t>2009-2012 (Résolution X.10), le GEST était prié de ‘mener une étude de portée des incidences des activités de production et de distribution d’énergie pour les zones humides couvrant à la fois les secteurs énergétiques classiques et renouvelables en tenant compte des questions relatives aux changements climatiques et aux zones humides et en reliant, le cas échéant, ces travaux aux travaux réalisés dans le cadre de la tâche sur les industries extractives … et en tenant compte des perspectives politiques évolutives et actualisées dans ces secteurs et des questions de sécurité énergétique en général.’ …Cette étude a été préparée par le GEST en  2010-2011 ... et publiée … dans un document d’information Ramsar… Ce document d’information comprend le résumé de ce Rapport technique Ramsar…</w:t>
            </w:r>
          </w:p>
        </w:tc>
      </w:tr>
      <w:tr w:rsidR="0025591A" w:rsidRPr="00EE01B4" w:rsidTr="004D1A4F">
        <w:tblPrEx>
          <w:tblBorders>
            <w:bottom w:val="single" w:sz="4" w:space="0" w:color="auto"/>
            <w:insideH w:val="single" w:sz="4" w:space="0" w:color="auto"/>
            <w:insideV w:val="single" w:sz="4" w:space="0" w:color="auto"/>
          </w:tblBorders>
        </w:tblPrEx>
        <w:tc>
          <w:tcPr>
            <w:tcW w:w="3053" w:type="dxa"/>
          </w:tcPr>
          <w:p w:rsidR="0025591A" w:rsidRPr="00EE01B4" w:rsidRDefault="00DF180B" w:rsidP="007E1EC5">
            <w:pPr>
              <w:spacing w:after="40"/>
              <w:rPr>
                <w:sz w:val="20"/>
                <w:szCs w:val="20"/>
                <w:lang w:val="fr-FR"/>
              </w:rPr>
            </w:pPr>
            <w:hyperlink r:id="rId140" w:history="1">
              <w:r w:rsidR="0025591A" w:rsidRPr="00EE01B4">
                <w:rPr>
                  <w:rStyle w:val="Hyperlink"/>
                  <w:sz w:val="20"/>
                  <w:szCs w:val="20"/>
                  <w:lang w:val="fr-FR"/>
                </w:rPr>
                <w:t xml:space="preserve">Rapport de mission consultative Ramsar </w:t>
              </w:r>
            </w:hyperlink>
          </w:p>
        </w:tc>
        <w:tc>
          <w:tcPr>
            <w:tcW w:w="2168" w:type="dxa"/>
          </w:tcPr>
          <w:p w:rsidR="0025591A" w:rsidRPr="00EE01B4" w:rsidRDefault="0025591A" w:rsidP="00B5352E">
            <w:pPr>
              <w:rPr>
                <w:rFonts w:cs="Arial"/>
                <w:sz w:val="20"/>
                <w:szCs w:val="20"/>
                <w:lang w:val="fr-FR"/>
              </w:rPr>
            </w:pPr>
            <w:r w:rsidRPr="00EE01B4">
              <w:rPr>
                <w:sz w:val="20"/>
                <w:szCs w:val="20"/>
                <w:lang w:val="fr-FR"/>
              </w:rPr>
              <w:t>Technique</w:t>
            </w:r>
            <w:r w:rsidRPr="00EE01B4">
              <w:rPr>
                <w:rFonts w:cs="Arial"/>
                <w:sz w:val="20"/>
                <w:szCs w:val="20"/>
                <w:lang w:val="fr-FR"/>
              </w:rPr>
              <w:t>/ Scientifique</w:t>
            </w:r>
          </w:p>
        </w:tc>
        <w:tc>
          <w:tcPr>
            <w:tcW w:w="2582" w:type="dxa"/>
          </w:tcPr>
          <w:p w:rsidR="0025591A" w:rsidRPr="00EE01B4" w:rsidRDefault="0025591A" w:rsidP="00370912">
            <w:pPr>
              <w:rPr>
                <w:rFonts w:cs="Arial"/>
                <w:sz w:val="20"/>
                <w:szCs w:val="20"/>
                <w:lang w:val="fr-FR"/>
              </w:rPr>
            </w:pPr>
            <w:r w:rsidRPr="00EE01B4">
              <w:rPr>
                <w:rFonts w:cs="Arial"/>
                <w:sz w:val="20"/>
                <w:szCs w:val="20"/>
                <w:lang w:val="fr-FR"/>
              </w:rPr>
              <w:t>Praticiens</w:t>
            </w:r>
          </w:p>
        </w:tc>
        <w:tc>
          <w:tcPr>
            <w:tcW w:w="1259" w:type="dxa"/>
          </w:tcPr>
          <w:p w:rsidR="0025591A" w:rsidRPr="00EE01B4" w:rsidRDefault="0025591A" w:rsidP="00B5352E">
            <w:pPr>
              <w:rPr>
                <w:rFonts w:cs="Arial"/>
                <w:sz w:val="20"/>
                <w:szCs w:val="20"/>
                <w:lang w:val="fr-FR"/>
              </w:rPr>
            </w:pPr>
          </w:p>
        </w:tc>
        <w:tc>
          <w:tcPr>
            <w:tcW w:w="1259" w:type="dxa"/>
          </w:tcPr>
          <w:p w:rsidR="0025591A" w:rsidRPr="00EE01B4" w:rsidRDefault="0025591A" w:rsidP="007E028F">
            <w:pPr>
              <w:spacing w:after="100"/>
              <w:rPr>
                <w:sz w:val="20"/>
                <w:szCs w:val="20"/>
                <w:lang w:val="fr-FR"/>
              </w:rPr>
            </w:pPr>
            <w:r w:rsidRPr="00EE01B4">
              <w:rPr>
                <w:sz w:val="20"/>
                <w:szCs w:val="20"/>
                <w:lang w:val="fr-FR"/>
              </w:rPr>
              <w:t>Variable (E, F et/ou S)</w:t>
            </w:r>
          </w:p>
        </w:tc>
        <w:tc>
          <w:tcPr>
            <w:tcW w:w="5293" w:type="dxa"/>
          </w:tcPr>
          <w:p w:rsidR="0025591A" w:rsidRPr="00EE01B4" w:rsidRDefault="0025591A" w:rsidP="00BC367E">
            <w:pPr>
              <w:spacing w:after="40"/>
              <w:rPr>
                <w:sz w:val="20"/>
                <w:szCs w:val="20"/>
                <w:lang w:val="fr-FR"/>
              </w:rPr>
            </w:pPr>
            <w:r w:rsidRPr="00EE01B4">
              <w:rPr>
                <w:rFonts w:cs="Arial"/>
                <w:sz w:val="20"/>
                <w:szCs w:val="20"/>
                <w:u w:val="single"/>
                <w:lang w:val="fr-FR"/>
              </w:rPr>
              <w:t>Résumé</w:t>
            </w:r>
            <w:r w:rsidRPr="00EE01B4">
              <w:rPr>
                <w:rFonts w:cs="Arial"/>
                <w:sz w:val="20"/>
                <w:szCs w:val="20"/>
                <w:lang w:val="fr-FR"/>
              </w:rPr>
              <w:t xml:space="preserve"> : Lorsque les caractéristiques écologiques d’un Site Ramsar sont menacées, la Partie contractante peut demander </w:t>
            </w:r>
            <w:r w:rsidRPr="00EE01B4">
              <w:rPr>
                <w:rFonts w:cs="Arial"/>
                <w:sz w:val="20"/>
                <w:szCs w:val="20"/>
                <w:lang w:val="fr-FR"/>
              </w:rPr>
              <w:lastRenderedPageBreak/>
              <w:t>une Mission consultative Ramsar (MCR)… En général, une Mission prend la forme d’une visite par une équipe de deux ou plusieurs experts… Le projet de rapport de l’équipe est soumis pour examen à la Partie contractante et le rapport final révisé est alors publié. Les résultats et recommandations du rapport peuvent servir de base pour l’action dans le site et peut</w:t>
            </w:r>
            <w:r w:rsidRPr="00EE01B4">
              <w:rPr>
                <w:rFonts w:cs="Arial"/>
                <w:sz w:val="20"/>
                <w:szCs w:val="20"/>
                <w:lang w:val="fr-FR"/>
              </w:rPr>
              <w:noBreakHyphen/>
              <w:t xml:space="preserve">être pour une assistance financière ultérieure. </w:t>
            </w:r>
          </w:p>
        </w:tc>
      </w:tr>
      <w:tr w:rsidR="0025591A" w:rsidRPr="00EE01B4" w:rsidTr="004D1A4F">
        <w:tblPrEx>
          <w:tblBorders>
            <w:bottom w:val="single" w:sz="4" w:space="0" w:color="auto"/>
            <w:insideH w:val="single" w:sz="4" w:space="0" w:color="auto"/>
            <w:insideV w:val="single" w:sz="4" w:space="0" w:color="auto"/>
          </w:tblBorders>
        </w:tblPrEx>
        <w:tc>
          <w:tcPr>
            <w:tcW w:w="3053" w:type="dxa"/>
          </w:tcPr>
          <w:p w:rsidR="0025591A" w:rsidRPr="00EE01B4" w:rsidRDefault="00DF180B" w:rsidP="000B72C5">
            <w:pPr>
              <w:spacing w:after="40"/>
              <w:rPr>
                <w:sz w:val="20"/>
                <w:szCs w:val="20"/>
                <w:lang w:val="fr-FR"/>
              </w:rPr>
            </w:pPr>
            <w:hyperlink r:id="rId141" w:history="1">
              <w:r w:rsidR="0025591A" w:rsidRPr="00EE01B4">
                <w:rPr>
                  <w:rStyle w:val="Hyperlink"/>
                  <w:sz w:val="20"/>
                  <w:szCs w:val="20"/>
                  <w:lang w:val="fr-FR"/>
                </w:rPr>
                <w:t>Note d’information n</w:t>
              </w:r>
              <w:r w:rsidR="0025591A" w:rsidRPr="00EE01B4">
                <w:rPr>
                  <w:rStyle w:val="Hyperlink"/>
                  <w:sz w:val="20"/>
                  <w:szCs w:val="20"/>
                  <w:vertAlign w:val="superscript"/>
                  <w:lang w:val="fr-FR"/>
                </w:rPr>
                <w:t>o</w:t>
              </w:r>
              <w:r w:rsidR="0025591A" w:rsidRPr="00EE01B4">
                <w:rPr>
                  <w:rStyle w:val="Hyperlink"/>
                  <w:sz w:val="20"/>
                  <w:szCs w:val="20"/>
                  <w:lang w:val="fr-FR"/>
                </w:rPr>
                <w:t xml:space="preserve"> 6 du GEST: Vers l’utilisation rationnelle des zones humides urbaines et périurbaines </w:t>
              </w:r>
            </w:hyperlink>
          </w:p>
        </w:tc>
        <w:tc>
          <w:tcPr>
            <w:tcW w:w="2168" w:type="dxa"/>
          </w:tcPr>
          <w:p w:rsidR="0025591A" w:rsidRPr="00EE01B4" w:rsidRDefault="0025591A" w:rsidP="00B5352E">
            <w:pPr>
              <w:rPr>
                <w:rFonts w:cs="Arial"/>
                <w:sz w:val="20"/>
                <w:szCs w:val="20"/>
                <w:lang w:val="fr-FR"/>
              </w:rPr>
            </w:pPr>
            <w:r w:rsidRPr="00EE01B4">
              <w:rPr>
                <w:rFonts w:cs="Arial"/>
                <w:sz w:val="20"/>
                <w:szCs w:val="20"/>
                <w:lang w:val="fr-FR"/>
              </w:rPr>
              <w:t xml:space="preserve">Technique </w:t>
            </w:r>
          </w:p>
        </w:tc>
        <w:tc>
          <w:tcPr>
            <w:tcW w:w="2582" w:type="dxa"/>
          </w:tcPr>
          <w:p w:rsidR="0025591A" w:rsidRPr="00EE01B4" w:rsidRDefault="0025591A" w:rsidP="00B5352E">
            <w:pPr>
              <w:rPr>
                <w:rFonts w:cs="Arial"/>
                <w:sz w:val="20"/>
                <w:szCs w:val="20"/>
                <w:lang w:val="fr-FR"/>
              </w:rPr>
            </w:pPr>
            <w:r w:rsidRPr="00EE01B4">
              <w:rPr>
                <w:rFonts w:cs="Arial"/>
                <w:sz w:val="20"/>
                <w:szCs w:val="20"/>
                <w:lang w:val="fr-FR"/>
              </w:rPr>
              <w:t>Décideurs, praticiens</w:t>
            </w:r>
          </w:p>
        </w:tc>
        <w:tc>
          <w:tcPr>
            <w:tcW w:w="1259" w:type="dxa"/>
          </w:tcPr>
          <w:p w:rsidR="0025591A" w:rsidRPr="00EE01B4" w:rsidRDefault="0025591A" w:rsidP="00B5352E">
            <w:pPr>
              <w:rPr>
                <w:rFonts w:cs="Arial"/>
                <w:sz w:val="20"/>
                <w:szCs w:val="20"/>
                <w:lang w:val="fr-FR"/>
              </w:rPr>
            </w:pPr>
          </w:p>
        </w:tc>
        <w:tc>
          <w:tcPr>
            <w:tcW w:w="1259" w:type="dxa"/>
          </w:tcPr>
          <w:p w:rsidR="0025591A" w:rsidRPr="00EE01B4" w:rsidRDefault="0025591A" w:rsidP="00B5352E">
            <w:pPr>
              <w:spacing w:after="100"/>
              <w:rPr>
                <w:sz w:val="20"/>
                <w:szCs w:val="20"/>
                <w:lang w:val="fr-FR"/>
              </w:rPr>
            </w:pPr>
            <w:r w:rsidRPr="00EE01B4">
              <w:rPr>
                <w:sz w:val="20"/>
                <w:szCs w:val="20"/>
                <w:lang w:val="fr-FR"/>
              </w:rPr>
              <w:t>E</w:t>
            </w:r>
          </w:p>
        </w:tc>
        <w:tc>
          <w:tcPr>
            <w:tcW w:w="5293" w:type="dxa"/>
          </w:tcPr>
          <w:p w:rsidR="0025591A" w:rsidRPr="00EE01B4" w:rsidRDefault="0025591A" w:rsidP="00BC367E">
            <w:pPr>
              <w:rPr>
                <w:rFonts w:cs="Arial"/>
                <w:sz w:val="20"/>
                <w:szCs w:val="20"/>
                <w:lang w:val="fr-FR"/>
              </w:rPr>
            </w:pPr>
            <w:r w:rsidRPr="00EE01B4">
              <w:rPr>
                <w:rFonts w:cs="Arial"/>
                <w:sz w:val="20"/>
                <w:szCs w:val="20"/>
                <w:u w:val="single"/>
                <w:lang w:val="fr-FR"/>
              </w:rPr>
              <w:t>Résumé</w:t>
            </w:r>
            <w:r w:rsidRPr="00EE01B4">
              <w:rPr>
                <w:rFonts w:cs="Arial"/>
                <w:sz w:val="20"/>
                <w:szCs w:val="20"/>
                <w:lang w:val="fr-FR"/>
              </w:rPr>
              <w:t xml:space="preserve"> : Cette Note d’information aborde les principes de la planification et de la gestion des zones humides urbaines et périurbaines convenus par les Parties contractantes et vise à aider les administrateurs et planificateurs des villes et cités à garantir l’utilisation rationnelle des zones humides.  </w:t>
            </w:r>
          </w:p>
        </w:tc>
      </w:tr>
      <w:tr w:rsidR="0025591A" w:rsidRPr="00EE01B4" w:rsidTr="004D1A4F">
        <w:tblPrEx>
          <w:tblBorders>
            <w:bottom w:val="single" w:sz="4" w:space="0" w:color="auto"/>
            <w:insideH w:val="single" w:sz="4" w:space="0" w:color="auto"/>
            <w:insideV w:val="single" w:sz="4" w:space="0" w:color="auto"/>
          </w:tblBorders>
        </w:tblPrEx>
        <w:tc>
          <w:tcPr>
            <w:tcW w:w="3053" w:type="dxa"/>
          </w:tcPr>
          <w:p w:rsidR="0025591A" w:rsidRPr="00EE01B4" w:rsidRDefault="00DF180B" w:rsidP="000B72C5">
            <w:pPr>
              <w:spacing w:after="40"/>
              <w:rPr>
                <w:sz w:val="20"/>
                <w:szCs w:val="20"/>
                <w:lang w:val="en-GB"/>
              </w:rPr>
            </w:pPr>
            <w:hyperlink r:id="rId142" w:history="1">
              <w:r w:rsidR="0025591A" w:rsidRPr="00EE01B4">
                <w:rPr>
                  <w:rStyle w:val="Hyperlink"/>
                  <w:sz w:val="20"/>
                  <w:szCs w:val="20"/>
                  <w:lang w:val="en-GB"/>
                </w:rPr>
                <w:t>Rapport technique Ramsar n</w:t>
              </w:r>
              <w:r w:rsidR="0025591A" w:rsidRPr="00EE01B4">
                <w:rPr>
                  <w:rStyle w:val="Hyperlink"/>
                  <w:sz w:val="20"/>
                  <w:szCs w:val="20"/>
                  <w:vertAlign w:val="superscript"/>
                  <w:lang w:val="en-GB"/>
                </w:rPr>
                <w:t>o</w:t>
              </w:r>
              <w:r w:rsidR="0025591A" w:rsidRPr="00EE01B4">
                <w:rPr>
                  <w:rStyle w:val="Hyperlink"/>
                  <w:sz w:val="20"/>
                  <w:szCs w:val="20"/>
                  <w:lang w:val="en-GB"/>
                </w:rPr>
                <w:t> 9: Determination and implementation of environmental water requirements for estuaries</w:t>
              </w:r>
            </w:hyperlink>
          </w:p>
        </w:tc>
        <w:tc>
          <w:tcPr>
            <w:tcW w:w="2168" w:type="dxa"/>
          </w:tcPr>
          <w:p w:rsidR="0025591A" w:rsidRPr="00EE01B4" w:rsidRDefault="0025591A" w:rsidP="00B5352E">
            <w:pPr>
              <w:rPr>
                <w:rFonts w:cs="Arial"/>
                <w:sz w:val="20"/>
                <w:szCs w:val="20"/>
                <w:lang w:val="fr-FR"/>
              </w:rPr>
            </w:pPr>
            <w:r w:rsidRPr="00EE01B4">
              <w:rPr>
                <w:rFonts w:cs="Arial"/>
                <w:sz w:val="20"/>
                <w:szCs w:val="20"/>
                <w:lang w:val="fr-FR"/>
              </w:rPr>
              <w:t>Scientifique/ Technique</w:t>
            </w:r>
          </w:p>
        </w:tc>
        <w:tc>
          <w:tcPr>
            <w:tcW w:w="2582" w:type="dxa"/>
          </w:tcPr>
          <w:p w:rsidR="0025591A" w:rsidRPr="00EE01B4" w:rsidRDefault="0025591A" w:rsidP="009E2D28">
            <w:pPr>
              <w:rPr>
                <w:rFonts w:cs="Arial"/>
                <w:sz w:val="20"/>
                <w:szCs w:val="20"/>
                <w:lang w:val="fr-FR"/>
              </w:rPr>
            </w:pPr>
            <w:r w:rsidRPr="00EE01B4">
              <w:rPr>
                <w:rFonts w:cs="Arial"/>
                <w:sz w:val="20"/>
                <w:szCs w:val="20"/>
                <w:lang w:val="fr-FR"/>
              </w:rPr>
              <w:t>Scientifiques, praticiens</w:t>
            </w:r>
          </w:p>
        </w:tc>
        <w:tc>
          <w:tcPr>
            <w:tcW w:w="1259" w:type="dxa"/>
          </w:tcPr>
          <w:p w:rsidR="0025591A" w:rsidRPr="00EE01B4" w:rsidRDefault="0025591A" w:rsidP="00B5352E">
            <w:pPr>
              <w:rPr>
                <w:rFonts w:cs="Arial"/>
                <w:sz w:val="20"/>
                <w:szCs w:val="20"/>
                <w:lang w:val="fr-FR"/>
              </w:rPr>
            </w:pPr>
          </w:p>
        </w:tc>
        <w:tc>
          <w:tcPr>
            <w:tcW w:w="1259" w:type="dxa"/>
          </w:tcPr>
          <w:p w:rsidR="0025591A" w:rsidRPr="00EE01B4" w:rsidRDefault="0025591A" w:rsidP="00B5352E">
            <w:pPr>
              <w:spacing w:after="100"/>
              <w:rPr>
                <w:sz w:val="20"/>
                <w:szCs w:val="20"/>
                <w:lang w:val="fr-FR"/>
              </w:rPr>
            </w:pPr>
            <w:r w:rsidRPr="00EE01B4">
              <w:rPr>
                <w:sz w:val="20"/>
                <w:szCs w:val="20"/>
                <w:lang w:val="fr-FR"/>
              </w:rPr>
              <w:t>E</w:t>
            </w:r>
          </w:p>
        </w:tc>
        <w:tc>
          <w:tcPr>
            <w:tcW w:w="5293" w:type="dxa"/>
          </w:tcPr>
          <w:p w:rsidR="0025591A" w:rsidRPr="00EE01B4" w:rsidRDefault="0025591A" w:rsidP="000B72C5">
            <w:pPr>
              <w:rPr>
                <w:rFonts w:cs="Arial"/>
                <w:sz w:val="20"/>
                <w:szCs w:val="20"/>
                <w:lang w:val="fr-FR"/>
              </w:rPr>
            </w:pPr>
            <w:r w:rsidRPr="00EE01B4">
              <w:rPr>
                <w:rFonts w:cs="Arial"/>
                <w:sz w:val="20"/>
                <w:szCs w:val="20"/>
                <w:u w:val="single"/>
                <w:lang w:val="fr-FR"/>
              </w:rPr>
              <w:t>Résumé</w:t>
            </w:r>
            <w:r w:rsidRPr="00EE01B4">
              <w:rPr>
                <w:rFonts w:cs="Arial"/>
                <w:sz w:val="20"/>
                <w:szCs w:val="20"/>
                <w:lang w:val="fr-FR"/>
              </w:rPr>
              <w:t> : Ce rapport contient une étude des méthodes disponibles pour déterminer les besoins environnementaux en eau dans les estuaires, ainsi qu’une discussion sur les tendances en matière d’élaboration des méthodes et des mesures  pour une mise en œuvre réussie des besoins environnementaux en eau.</w:t>
            </w:r>
          </w:p>
        </w:tc>
      </w:tr>
      <w:tr w:rsidR="0025591A" w:rsidRPr="00EE01B4" w:rsidTr="004D1A4F">
        <w:tblPrEx>
          <w:tblBorders>
            <w:bottom w:val="single" w:sz="4" w:space="0" w:color="auto"/>
            <w:insideH w:val="single" w:sz="4" w:space="0" w:color="auto"/>
            <w:insideV w:val="single" w:sz="4" w:space="0" w:color="auto"/>
          </w:tblBorders>
        </w:tblPrEx>
        <w:tc>
          <w:tcPr>
            <w:tcW w:w="3053" w:type="dxa"/>
          </w:tcPr>
          <w:p w:rsidR="0025591A" w:rsidRPr="00EE01B4" w:rsidRDefault="0025591A" w:rsidP="00B5352E">
            <w:pPr>
              <w:spacing w:after="40"/>
              <w:rPr>
                <w:sz w:val="20"/>
                <w:szCs w:val="20"/>
                <w:lang w:val="en-GB"/>
              </w:rPr>
            </w:pPr>
            <w:r w:rsidRPr="00EE01B4">
              <w:rPr>
                <w:sz w:val="20"/>
                <w:szCs w:val="20"/>
                <w:lang w:val="en-GB"/>
              </w:rPr>
              <w:t>Internal Report: Change in ecological character of wetland sites – Ramsar guidance and mechanisms (2014)</w:t>
            </w:r>
          </w:p>
        </w:tc>
        <w:tc>
          <w:tcPr>
            <w:tcW w:w="2168" w:type="dxa"/>
          </w:tcPr>
          <w:p w:rsidR="0025591A" w:rsidRPr="00EE01B4" w:rsidRDefault="0025591A" w:rsidP="00B5352E">
            <w:pPr>
              <w:rPr>
                <w:rFonts w:cs="Arial"/>
                <w:sz w:val="20"/>
                <w:szCs w:val="20"/>
                <w:lang w:val="fr-FR"/>
              </w:rPr>
            </w:pPr>
            <w:r w:rsidRPr="00EE01B4">
              <w:rPr>
                <w:rFonts w:cs="Arial"/>
                <w:sz w:val="20"/>
                <w:szCs w:val="20"/>
                <w:lang w:val="fr-FR"/>
              </w:rPr>
              <w:t xml:space="preserve">Technique </w:t>
            </w:r>
          </w:p>
        </w:tc>
        <w:tc>
          <w:tcPr>
            <w:tcW w:w="2582" w:type="dxa"/>
          </w:tcPr>
          <w:p w:rsidR="0025591A" w:rsidRPr="00EE01B4" w:rsidRDefault="0025591A" w:rsidP="00B5352E">
            <w:pPr>
              <w:rPr>
                <w:rFonts w:cs="Arial"/>
                <w:sz w:val="20"/>
                <w:szCs w:val="20"/>
                <w:lang w:val="fr-FR"/>
              </w:rPr>
            </w:pPr>
            <w:r w:rsidRPr="00EE01B4">
              <w:rPr>
                <w:rFonts w:cs="Arial"/>
                <w:sz w:val="20"/>
                <w:szCs w:val="20"/>
                <w:lang w:val="fr-FR"/>
              </w:rPr>
              <w:t>Décideurs</w:t>
            </w:r>
          </w:p>
        </w:tc>
        <w:tc>
          <w:tcPr>
            <w:tcW w:w="1259" w:type="dxa"/>
          </w:tcPr>
          <w:p w:rsidR="0025591A" w:rsidRPr="00EE01B4" w:rsidRDefault="0025591A" w:rsidP="00B5352E">
            <w:pPr>
              <w:rPr>
                <w:rFonts w:cs="Arial"/>
                <w:sz w:val="20"/>
                <w:szCs w:val="20"/>
                <w:lang w:val="fr-FR"/>
              </w:rPr>
            </w:pPr>
          </w:p>
        </w:tc>
        <w:tc>
          <w:tcPr>
            <w:tcW w:w="1259" w:type="dxa"/>
          </w:tcPr>
          <w:p w:rsidR="0025591A" w:rsidRPr="00EE01B4" w:rsidRDefault="0025591A" w:rsidP="00B5352E">
            <w:pPr>
              <w:spacing w:after="40"/>
              <w:rPr>
                <w:sz w:val="20"/>
                <w:szCs w:val="20"/>
                <w:lang w:val="fr-FR"/>
              </w:rPr>
            </w:pPr>
            <w:r w:rsidRPr="00EE01B4">
              <w:rPr>
                <w:sz w:val="20"/>
                <w:szCs w:val="20"/>
                <w:lang w:val="fr-FR"/>
              </w:rPr>
              <w:t>E</w:t>
            </w:r>
          </w:p>
        </w:tc>
        <w:tc>
          <w:tcPr>
            <w:tcW w:w="5293" w:type="dxa"/>
          </w:tcPr>
          <w:p w:rsidR="0025591A" w:rsidRPr="00EE01B4" w:rsidRDefault="0025591A" w:rsidP="00BC367E">
            <w:pPr>
              <w:rPr>
                <w:rFonts w:cs="Arial"/>
                <w:sz w:val="20"/>
                <w:szCs w:val="20"/>
                <w:lang w:val="fr-FR"/>
              </w:rPr>
            </w:pPr>
            <w:r w:rsidRPr="00EE01B4">
              <w:rPr>
                <w:rFonts w:cs="Arial"/>
                <w:sz w:val="20"/>
                <w:szCs w:val="20"/>
                <w:u w:val="single"/>
                <w:lang w:val="fr-FR"/>
              </w:rPr>
              <w:t>Résumé</w:t>
            </w:r>
            <w:r w:rsidRPr="00EE01B4">
              <w:rPr>
                <w:rFonts w:cs="Arial"/>
                <w:sz w:val="20"/>
                <w:szCs w:val="20"/>
                <w:lang w:val="fr-FR"/>
              </w:rPr>
              <w:t> : Comme noté dans le document COP12 DOC.6, ce rapport a été préparé pour exécuter les tâches 20, 25 et 41 de la période triennale 2013–2015.</w:t>
            </w:r>
          </w:p>
        </w:tc>
      </w:tr>
      <w:tr w:rsidR="0025591A" w:rsidRPr="00EE01B4" w:rsidTr="00846D11">
        <w:tblPrEx>
          <w:tblBorders>
            <w:bottom w:val="single" w:sz="4" w:space="0" w:color="auto"/>
            <w:insideH w:val="single" w:sz="4" w:space="0" w:color="auto"/>
            <w:insideV w:val="single" w:sz="4" w:space="0" w:color="auto"/>
          </w:tblBorders>
        </w:tblPrEx>
        <w:tc>
          <w:tcPr>
            <w:tcW w:w="15614" w:type="dxa"/>
            <w:gridSpan w:val="6"/>
            <w:shd w:val="clear" w:color="auto" w:fill="F2F2F2" w:themeFill="background1" w:themeFillShade="F2"/>
          </w:tcPr>
          <w:p w:rsidR="0025591A" w:rsidRPr="00EE01B4" w:rsidRDefault="0025591A" w:rsidP="003207C6">
            <w:pPr>
              <w:jc w:val="center"/>
              <w:rPr>
                <w:rFonts w:cs="Arial"/>
                <w:b/>
                <w:sz w:val="20"/>
                <w:szCs w:val="20"/>
                <w:lang w:val="fr-FR"/>
              </w:rPr>
            </w:pPr>
            <w:r w:rsidRPr="00EE01B4">
              <w:rPr>
                <w:rFonts w:cs="Arial"/>
                <w:b/>
                <w:sz w:val="20"/>
                <w:szCs w:val="20"/>
                <w:lang w:val="fr-FR"/>
              </w:rPr>
              <w:t>Autres orientations</w:t>
            </w:r>
          </w:p>
        </w:tc>
      </w:tr>
      <w:tr w:rsidR="0025591A" w:rsidRPr="00EE01B4" w:rsidTr="009D62D8">
        <w:tblPrEx>
          <w:tblBorders>
            <w:bottom w:val="single" w:sz="4" w:space="0" w:color="auto"/>
            <w:insideH w:val="single" w:sz="4" w:space="0" w:color="auto"/>
            <w:insideV w:val="single" w:sz="4" w:space="0" w:color="auto"/>
          </w:tblBorders>
        </w:tblPrEx>
        <w:tc>
          <w:tcPr>
            <w:tcW w:w="15614" w:type="dxa"/>
            <w:gridSpan w:val="6"/>
            <w:shd w:val="clear" w:color="auto" w:fill="FBD4B4" w:themeFill="accent6" w:themeFillTint="66"/>
          </w:tcPr>
          <w:p w:rsidR="0025591A" w:rsidRPr="00EE01B4" w:rsidRDefault="005B2BD3" w:rsidP="00B5352E">
            <w:pPr>
              <w:rPr>
                <w:rStyle w:val="Hyperlink"/>
                <w:color w:val="auto"/>
                <w:sz w:val="20"/>
                <w:szCs w:val="20"/>
                <w:u w:val="none"/>
                <w:lang w:val="fr-FR"/>
              </w:rPr>
            </w:pPr>
            <w:r w:rsidRPr="00EE01B4">
              <w:rPr>
                <w:b/>
                <w:sz w:val="20"/>
                <w:szCs w:val="20"/>
                <w:lang w:val="fr-CH"/>
              </w:rPr>
              <w:t>Mise à jour 2016-2019</w:t>
            </w:r>
          </w:p>
        </w:tc>
      </w:tr>
      <w:tr w:rsidR="0025591A" w:rsidRPr="00DF180B" w:rsidTr="004D1A4F">
        <w:tblPrEx>
          <w:tblBorders>
            <w:bottom w:val="single" w:sz="4" w:space="0" w:color="auto"/>
            <w:insideH w:val="single" w:sz="4" w:space="0" w:color="auto"/>
            <w:insideV w:val="single" w:sz="4" w:space="0" w:color="auto"/>
          </w:tblBorders>
        </w:tblPrEx>
        <w:tc>
          <w:tcPr>
            <w:tcW w:w="3053" w:type="dxa"/>
          </w:tcPr>
          <w:p w:rsidR="0025591A" w:rsidRPr="00EE01B4" w:rsidRDefault="00DF180B" w:rsidP="007F2A42">
            <w:pPr>
              <w:rPr>
                <w:sz w:val="20"/>
                <w:szCs w:val="20"/>
                <w:lang w:val="fr-CH"/>
              </w:rPr>
            </w:pPr>
            <w:hyperlink r:id="rId143" w:history="1">
              <w:proofErr w:type="spellStart"/>
              <w:r w:rsidR="0025591A" w:rsidRPr="00EE01B4">
                <w:rPr>
                  <w:rStyle w:val="Hyperlink"/>
                  <w:sz w:val="20"/>
                  <w:szCs w:val="20"/>
                  <w:lang w:val="fr-CH"/>
                </w:rPr>
                <w:t>Wetlands</w:t>
              </w:r>
              <w:proofErr w:type="spellEnd"/>
              <w:r w:rsidR="0025591A" w:rsidRPr="00EE01B4">
                <w:rPr>
                  <w:rStyle w:val="Hyperlink"/>
                  <w:sz w:val="20"/>
                  <w:szCs w:val="20"/>
                  <w:lang w:val="fr-CH"/>
                </w:rPr>
                <w:t xml:space="preserve"> and the </w:t>
              </w:r>
              <w:proofErr w:type="spellStart"/>
              <w:r w:rsidR="0025591A" w:rsidRPr="00EE01B4">
                <w:rPr>
                  <w:rStyle w:val="Hyperlink"/>
                  <w:sz w:val="20"/>
                  <w:szCs w:val="20"/>
                  <w:lang w:val="fr-CH"/>
                </w:rPr>
                <w:t>SDGs</w:t>
              </w:r>
              <w:proofErr w:type="spellEnd"/>
            </w:hyperlink>
          </w:p>
        </w:tc>
        <w:tc>
          <w:tcPr>
            <w:tcW w:w="2168" w:type="dxa"/>
          </w:tcPr>
          <w:p w:rsidR="0025591A" w:rsidRPr="00EE01B4" w:rsidRDefault="0025591A" w:rsidP="007F2A42">
            <w:pPr>
              <w:rPr>
                <w:rFonts w:cs="Arial"/>
                <w:sz w:val="20"/>
                <w:szCs w:val="20"/>
                <w:lang w:val="fr-CH"/>
              </w:rPr>
            </w:pPr>
          </w:p>
        </w:tc>
        <w:tc>
          <w:tcPr>
            <w:tcW w:w="2582" w:type="dxa"/>
          </w:tcPr>
          <w:p w:rsidR="0025591A" w:rsidRPr="00EE01B4" w:rsidRDefault="0025591A" w:rsidP="007F2A42">
            <w:pPr>
              <w:rPr>
                <w:rFonts w:cs="Arial"/>
                <w:sz w:val="20"/>
                <w:szCs w:val="20"/>
                <w:lang w:val="fr-CH"/>
              </w:rPr>
            </w:pPr>
          </w:p>
        </w:tc>
        <w:tc>
          <w:tcPr>
            <w:tcW w:w="1259" w:type="dxa"/>
          </w:tcPr>
          <w:p w:rsidR="0025591A" w:rsidRPr="00EE01B4" w:rsidRDefault="0025591A" w:rsidP="007F2A42">
            <w:pPr>
              <w:rPr>
                <w:rFonts w:cs="Arial"/>
                <w:sz w:val="20"/>
                <w:szCs w:val="20"/>
                <w:lang w:val="fr-CH"/>
              </w:rPr>
            </w:pPr>
          </w:p>
        </w:tc>
        <w:tc>
          <w:tcPr>
            <w:tcW w:w="1259" w:type="dxa"/>
          </w:tcPr>
          <w:p w:rsidR="0025591A" w:rsidRPr="00EE01B4" w:rsidRDefault="0025591A" w:rsidP="007F2A42">
            <w:pPr>
              <w:rPr>
                <w:sz w:val="20"/>
                <w:szCs w:val="20"/>
                <w:lang w:val="fr-CH"/>
              </w:rPr>
            </w:pPr>
            <w:r w:rsidRPr="00EE01B4">
              <w:rPr>
                <w:sz w:val="20"/>
                <w:szCs w:val="20"/>
                <w:lang w:val="fr-CH"/>
              </w:rPr>
              <w:t>EFS</w:t>
            </w:r>
          </w:p>
        </w:tc>
        <w:tc>
          <w:tcPr>
            <w:tcW w:w="5293" w:type="dxa"/>
          </w:tcPr>
          <w:p w:rsidR="0025591A" w:rsidRPr="00EE01B4" w:rsidRDefault="0025591A" w:rsidP="007F2A42">
            <w:pPr>
              <w:rPr>
                <w:rStyle w:val="Hyperlink"/>
                <w:color w:val="auto"/>
                <w:sz w:val="20"/>
                <w:szCs w:val="20"/>
                <w:u w:val="none"/>
                <w:lang w:val="en-CA"/>
              </w:rPr>
            </w:pPr>
            <w:r w:rsidRPr="00EE01B4">
              <w:rPr>
                <w:rStyle w:val="Hyperlink"/>
                <w:color w:val="auto"/>
                <w:sz w:val="20"/>
                <w:szCs w:val="20"/>
                <w:u w:val="none"/>
                <w:lang w:val="en-CA"/>
              </w:rPr>
              <w:t>Ramsar Secretariat report:</w:t>
            </w:r>
          </w:p>
          <w:p w:rsidR="0025591A" w:rsidRPr="00EE01B4" w:rsidRDefault="0025591A" w:rsidP="007F2A42">
            <w:pPr>
              <w:rPr>
                <w:rStyle w:val="Hyperlink"/>
                <w:color w:val="auto"/>
                <w:sz w:val="20"/>
                <w:szCs w:val="20"/>
                <w:lang w:val="en-CA"/>
              </w:rPr>
            </w:pPr>
            <w:r w:rsidRPr="00EE01B4">
              <w:rPr>
                <w:rStyle w:val="Hyperlink"/>
                <w:color w:val="auto"/>
                <w:sz w:val="20"/>
                <w:szCs w:val="20"/>
                <w:lang w:val="en-CA"/>
              </w:rPr>
              <w:t xml:space="preserve">Summary: </w:t>
            </w:r>
            <w:r w:rsidRPr="00EE01B4">
              <w:rPr>
                <w:rStyle w:val="Hyperlink"/>
                <w:color w:val="auto"/>
                <w:sz w:val="20"/>
                <w:szCs w:val="20"/>
                <w:u w:val="none"/>
                <w:lang w:val="en-CA"/>
              </w:rPr>
              <w:t>“This report highlights the critical role of wetlands in relation to the SDGs … and underscores the importance of conserving, using wisely and restoring this precious resource”.</w:t>
            </w:r>
          </w:p>
        </w:tc>
      </w:tr>
      <w:tr w:rsidR="0025591A" w:rsidRPr="00DF180B" w:rsidTr="004D1A4F">
        <w:tblPrEx>
          <w:tblBorders>
            <w:bottom w:val="single" w:sz="4" w:space="0" w:color="auto"/>
            <w:insideH w:val="single" w:sz="4" w:space="0" w:color="auto"/>
            <w:insideV w:val="single" w:sz="4" w:space="0" w:color="auto"/>
          </w:tblBorders>
        </w:tblPrEx>
        <w:tc>
          <w:tcPr>
            <w:tcW w:w="3053" w:type="dxa"/>
          </w:tcPr>
          <w:p w:rsidR="0025591A" w:rsidRPr="00EE01B4" w:rsidRDefault="00DF180B" w:rsidP="007F2A42">
            <w:pPr>
              <w:rPr>
                <w:sz w:val="20"/>
                <w:szCs w:val="20"/>
                <w:lang w:val="fr-CH"/>
              </w:rPr>
            </w:pPr>
            <w:hyperlink r:id="rId144" w:history="1">
              <w:r w:rsidR="0025591A" w:rsidRPr="00EE01B4">
                <w:rPr>
                  <w:rStyle w:val="Hyperlink"/>
                  <w:sz w:val="20"/>
                  <w:szCs w:val="20"/>
                  <w:lang w:val="fr-CH"/>
                </w:rPr>
                <w:t>Global Land Outlook</w:t>
              </w:r>
            </w:hyperlink>
            <w:r w:rsidR="0025591A" w:rsidRPr="00EE01B4">
              <w:rPr>
                <w:sz w:val="20"/>
                <w:szCs w:val="20"/>
                <w:lang w:val="fr-CH"/>
              </w:rPr>
              <w:t xml:space="preserve"> </w:t>
            </w:r>
          </w:p>
        </w:tc>
        <w:tc>
          <w:tcPr>
            <w:tcW w:w="2168" w:type="dxa"/>
          </w:tcPr>
          <w:p w:rsidR="0025591A" w:rsidRPr="00EE01B4" w:rsidRDefault="0025591A" w:rsidP="007F2A42">
            <w:pPr>
              <w:rPr>
                <w:rFonts w:cs="Arial"/>
                <w:sz w:val="20"/>
                <w:szCs w:val="20"/>
                <w:lang w:val="fr-CH"/>
              </w:rPr>
            </w:pPr>
          </w:p>
        </w:tc>
        <w:tc>
          <w:tcPr>
            <w:tcW w:w="2582" w:type="dxa"/>
          </w:tcPr>
          <w:p w:rsidR="0025591A" w:rsidRPr="00EE01B4" w:rsidRDefault="0025591A" w:rsidP="007F2A42">
            <w:pPr>
              <w:rPr>
                <w:rFonts w:cs="Arial"/>
                <w:sz w:val="20"/>
                <w:szCs w:val="20"/>
                <w:lang w:val="fr-CH"/>
              </w:rPr>
            </w:pPr>
          </w:p>
        </w:tc>
        <w:tc>
          <w:tcPr>
            <w:tcW w:w="1259" w:type="dxa"/>
          </w:tcPr>
          <w:p w:rsidR="0025591A" w:rsidRPr="00EE01B4" w:rsidRDefault="0025591A" w:rsidP="007F2A42">
            <w:pPr>
              <w:rPr>
                <w:rFonts w:cs="Arial"/>
                <w:sz w:val="20"/>
                <w:szCs w:val="20"/>
                <w:lang w:val="fr-CH"/>
              </w:rPr>
            </w:pPr>
          </w:p>
        </w:tc>
        <w:tc>
          <w:tcPr>
            <w:tcW w:w="1259" w:type="dxa"/>
          </w:tcPr>
          <w:p w:rsidR="0025591A" w:rsidRPr="00EE01B4" w:rsidRDefault="0025591A" w:rsidP="007F2A42">
            <w:pPr>
              <w:rPr>
                <w:sz w:val="20"/>
                <w:szCs w:val="20"/>
                <w:lang w:val="fr-CH"/>
              </w:rPr>
            </w:pPr>
            <w:r w:rsidRPr="00EE01B4">
              <w:rPr>
                <w:sz w:val="20"/>
                <w:szCs w:val="20"/>
                <w:lang w:val="fr-CH"/>
              </w:rPr>
              <w:t>EFSRAC</w:t>
            </w:r>
          </w:p>
        </w:tc>
        <w:tc>
          <w:tcPr>
            <w:tcW w:w="5293" w:type="dxa"/>
          </w:tcPr>
          <w:p w:rsidR="0025591A" w:rsidRPr="00EE01B4" w:rsidRDefault="0025591A" w:rsidP="007F2A42">
            <w:pPr>
              <w:rPr>
                <w:rStyle w:val="Hyperlink"/>
                <w:color w:val="auto"/>
                <w:sz w:val="20"/>
                <w:szCs w:val="20"/>
                <w:u w:val="none"/>
                <w:lang w:val="en-CA"/>
              </w:rPr>
            </w:pPr>
            <w:r w:rsidRPr="00EE01B4">
              <w:rPr>
                <w:rStyle w:val="Hyperlink"/>
                <w:color w:val="auto"/>
                <w:sz w:val="20"/>
                <w:szCs w:val="20"/>
                <w:u w:val="none"/>
                <w:lang w:val="en-CA"/>
              </w:rPr>
              <w:t>UNCCCD</w:t>
            </w:r>
          </w:p>
          <w:p w:rsidR="0025591A" w:rsidRPr="00EE01B4" w:rsidRDefault="0025591A" w:rsidP="007F2A42">
            <w:pPr>
              <w:rPr>
                <w:rStyle w:val="Hyperlink"/>
                <w:color w:val="auto"/>
                <w:sz w:val="20"/>
                <w:szCs w:val="20"/>
                <w:lang w:val="en-CA"/>
              </w:rPr>
            </w:pPr>
            <w:r w:rsidRPr="00EE01B4">
              <w:rPr>
                <w:rStyle w:val="Hyperlink"/>
                <w:color w:val="auto"/>
                <w:sz w:val="20"/>
                <w:szCs w:val="20"/>
                <w:lang w:val="en-CA"/>
              </w:rPr>
              <w:t>Summary: “The GLO presents an overview of the status of land and a clear set of responses to optimize land use, management, and planning, and thereby create synergies among sectors in the provision of land-based goods and services.”</w:t>
            </w:r>
          </w:p>
        </w:tc>
      </w:tr>
      <w:tr w:rsidR="0025591A" w:rsidRPr="00DF180B" w:rsidTr="004D1A4F">
        <w:tblPrEx>
          <w:tblBorders>
            <w:bottom w:val="single" w:sz="4" w:space="0" w:color="auto"/>
            <w:insideH w:val="single" w:sz="4" w:space="0" w:color="auto"/>
            <w:insideV w:val="single" w:sz="4" w:space="0" w:color="auto"/>
          </w:tblBorders>
        </w:tblPrEx>
        <w:tc>
          <w:tcPr>
            <w:tcW w:w="3053" w:type="dxa"/>
          </w:tcPr>
          <w:p w:rsidR="0025591A" w:rsidRPr="00EE01B4" w:rsidRDefault="00DF180B" w:rsidP="007F2A42">
            <w:pPr>
              <w:rPr>
                <w:sz w:val="20"/>
                <w:szCs w:val="20"/>
                <w:lang w:val="en-CA"/>
              </w:rPr>
            </w:pPr>
            <w:hyperlink r:id="rId145" w:history="1">
              <w:r w:rsidR="0025591A" w:rsidRPr="00EE01B4">
                <w:rPr>
                  <w:rStyle w:val="Hyperlink"/>
                  <w:sz w:val="20"/>
                  <w:szCs w:val="20"/>
                  <w:lang w:val="en-CA"/>
                </w:rPr>
                <w:t>Good practices handbook – Integrating urban development and wetland conservation</w:t>
              </w:r>
            </w:hyperlink>
          </w:p>
        </w:tc>
        <w:tc>
          <w:tcPr>
            <w:tcW w:w="2168" w:type="dxa"/>
          </w:tcPr>
          <w:p w:rsidR="0025591A" w:rsidRPr="00EE01B4" w:rsidRDefault="0025591A" w:rsidP="007F2A42">
            <w:pPr>
              <w:rPr>
                <w:rFonts w:cs="Arial"/>
                <w:sz w:val="20"/>
                <w:szCs w:val="20"/>
                <w:lang w:val="en-CA"/>
              </w:rPr>
            </w:pPr>
          </w:p>
        </w:tc>
        <w:tc>
          <w:tcPr>
            <w:tcW w:w="2582" w:type="dxa"/>
          </w:tcPr>
          <w:p w:rsidR="0025591A" w:rsidRPr="00EE01B4" w:rsidRDefault="0025591A" w:rsidP="007F2A42">
            <w:pPr>
              <w:rPr>
                <w:rFonts w:cs="Arial"/>
                <w:sz w:val="20"/>
                <w:szCs w:val="20"/>
                <w:lang w:val="en-CA"/>
              </w:rPr>
            </w:pPr>
          </w:p>
        </w:tc>
        <w:tc>
          <w:tcPr>
            <w:tcW w:w="1259" w:type="dxa"/>
          </w:tcPr>
          <w:p w:rsidR="0025591A" w:rsidRPr="00EE01B4" w:rsidRDefault="0025591A" w:rsidP="007F2A42">
            <w:pPr>
              <w:rPr>
                <w:rFonts w:cs="Arial"/>
                <w:sz w:val="20"/>
                <w:szCs w:val="20"/>
                <w:lang w:val="en-CA"/>
              </w:rPr>
            </w:pPr>
          </w:p>
        </w:tc>
        <w:tc>
          <w:tcPr>
            <w:tcW w:w="1259" w:type="dxa"/>
          </w:tcPr>
          <w:p w:rsidR="0025591A" w:rsidRPr="00EE01B4" w:rsidRDefault="0025591A" w:rsidP="007F2A42">
            <w:pPr>
              <w:rPr>
                <w:sz w:val="20"/>
                <w:szCs w:val="20"/>
                <w:lang w:val="fr-CH"/>
              </w:rPr>
            </w:pPr>
            <w:r w:rsidRPr="00EE01B4">
              <w:rPr>
                <w:sz w:val="20"/>
                <w:szCs w:val="20"/>
                <w:lang w:val="fr-CH"/>
              </w:rPr>
              <w:t>EC</w:t>
            </w:r>
          </w:p>
        </w:tc>
        <w:tc>
          <w:tcPr>
            <w:tcW w:w="5293" w:type="dxa"/>
          </w:tcPr>
          <w:p w:rsidR="0025591A" w:rsidRPr="00EE01B4" w:rsidRDefault="0025591A" w:rsidP="007F2A42">
            <w:pPr>
              <w:rPr>
                <w:rStyle w:val="Hyperlink"/>
                <w:color w:val="auto"/>
                <w:sz w:val="20"/>
                <w:szCs w:val="20"/>
                <w:u w:val="none"/>
                <w:lang w:val="en-CA"/>
              </w:rPr>
            </w:pPr>
            <w:r w:rsidRPr="00EE01B4">
              <w:rPr>
                <w:rStyle w:val="Hyperlink"/>
                <w:color w:val="auto"/>
                <w:sz w:val="20"/>
                <w:szCs w:val="20"/>
                <w:u w:val="none"/>
                <w:lang w:val="en-CA"/>
              </w:rPr>
              <w:t>WWT</w:t>
            </w:r>
          </w:p>
          <w:p w:rsidR="0025591A" w:rsidRPr="00EE01B4" w:rsidRDefault="0025591A" w:rsidP="007F2A42">
            <w:pPr>
              <w:rPr>
                <w:rStyle w:val="Hyperlink"/>
                <w:color w:val="auto"/>
                <w:sz w:val="20"/>
                <w:szCs w:val="20"/>
                <w:u w:val="none"/>
                <w:lang w:val="en-CA"/>
              </w:rPr>
            </w:pPr>
            <w:r w:rsidRPr="00EE01B4">
              <w:rPr>
                <w:rStyle w:val="Hyperlink"/>
                <w:color w:val="auto"/>
                <w:sz w:val="20"/>
                <w:szCs w:val="20"/>
                <w:lang w:val="en-CA"/>
              </w:rPr>
              <w:t>Summary</w:t>
            </w:r>
            <w:r w:rsidRPr="00EE01B4">
              <w:rPr>
                <w:rStyle w:val="Hyperlink"/>
                <w:color w:val="auto"/>
                <w:sz w:val="20"/>
                <w:szCs w:val="20"/>
                <w:u w:val="none"/>
                <w:lang w:val="en-CA"/>
              </w:rPr>
              <w:t>: “provides guidance to individuals, businesses, organizations or government involved in the design, planning, management and/or construction of urban wetlands”.</w:t>
            </w:r>
          </w:p>
        </w:tc>
      </w:tr>
      <w:tr w:rsidR="0025591A" w:rsidRPr="00DF180B" w:rsidTr="004D1A4F">
        <w:tblPrEx>
          <w:tblBorders>
            <w:bottom w:val="single" w:sz="4" w:space="0" w:color="auto"/>
            <w:insideH w:val="single" w:sz="4" w:space="0" w:color="auto"/>
            <w:insideV w:val="single" w:sz="4" w:space="0" w:color="auto"/>
          </w:tblBorders>
        </w:tblPrEx>
        <w:tc>
          <w:tcPr>
            <w:tcW w:w="3053" w:type="dxa"/>
          </w:tcPr>
          <w:p w:rsidR="0025591A" w:rsidRPr="00EE01B4" w:rsidRDefault="00DF180B" w:rsidP="007F2A42">
            <w:pPr>
              <w:rPr>
                <w:sz w:val="20"/>
                <w:szCs w:val="20"/>
                <w:lang w:val="en-CA"/>
              </w:rPr>
            </w:pPr>
            <w:hyperlink r:id="rId146" w:history="1">
              <w:r w:rsidR="0025591A" w:rsidRPr="00EE01B4">
                <w:rPr>
                  <w:rStyle w:val="Hyperlink"/>
                  <w:sz w:val="20"/>
                  <w:szCs w:val="20"/>
                  <w:lang w:val="en-CA"/>
                </w:rPr>
                <w:t>Mediterranean Wetlands Outlook 2: Solutions for sustainable Mediterranean Wetlands – 2018</w:t>
              </w:r>
            </w:hyperlink>
          </w:p>
        </w:tc>
        <w:tc>
          <w:tcPr>
            <w:tcW w:w="2168" w:type="dxa"/>
          </w:tcPr>
          <w:p w:rsidR="0025591A" w:rsidRPr="00EE01B4" w:rsidRDefault="0025591A" w:rsidP="007F2A42">
            <w:pPr>
              <w:rPr>
                <w:rFonts w:cs="Arial"/>
                <w:sz w:val="20"/>
                <w:szCs w:val="20"/>
                <w:lang w:val="en-CA"/>
              </w:rPr>
            </w:pPr>
          </w:p>
        </w:tc>
        <w:tc>
          <w:tcPr>
            <w:tcW w:w="2582" w:type="dxa"/>
          </w:tcPr>
          <w:p w:rsidR="0025591A" w:rsidRPr="00EE01B4" w:rsidRDefault="0025591A" w:rsidP="007F2A42">
            <w:pPr>
              <w:rPr>
                <w:rFonts w:cs="Arial"/>
                <w:sz w:val="20"/>
                <w:szCs w:val="20"/>
                <w:lang w:val="en-CA"/>
              </w:rPr>
            </w:pPr>
          </w:p>
        </w:tc>
        <w:tc>
          <w:tcPr>
            <w:tcW w:w="1259" w:type="dxa"/>
          </w:tcPr>
          <w:p w:rsidR="0025591A" w:rsidRPr="00EE01B4" w:rsidRDefault="0025591A" w:rsidP="007F2A42">
            <w:pPr>
              <w:rPr>
                <w:rFonts w:cs="Arial"/>
                <w:sz w:val="20"/>
                <w:szCs w:val="20"/>
                <w:lang w:val="en-CA"/>
              </w:rPr>
            </w:pPr>
          </w:p>
        </w:tc>
        <w:tc>
          <w:tcPr>
            <w:tcW w:w="1259" w:type="dxa"/>
          </w:tcPr>
          <w:p w:rsidR="0025591A" w:rsidRPr="00EE01B4" w:rsidRDefault="0025591A" w:rsidP="007F2A42">
            <w:pPr>
              <w:rPr>
                <w:sz w:val="20"/>
                <w:szCs w:val="20"/>
                <w:lang w:val="fr-CH"/>
              </w:rPr>
            </w:pPr>
            <w:r w:rsidRPr="00EE01B4">
              <w:rPr>
                <w:sz w:val="20"/>
                <w:szCs w:val="20"/>
                <w:lang w:val="fr-CH"/>
              </w:rPr>
              <w:t>EF</w:t>
            </w:r>
          </w:p>
        </w:tc>
        <w:tc>
          <w:tcPr>
            <w:tcW w:w="5293" w:type="dxa"/>
          </w:tcPr>
          <w:p w:rsidR="0025591A" w:rsidRPr="00EE01B4" w:rsidRDefault="0025591A" w:rsidP="007F2A42">
            <w:pPr>
              <w:rPr>
                <w:rStyle w:val="Hyperlink"/>
                <w:color w:val="auto"/>
                <w:sz w:val="20"/>
                <w:szCs w:val="20"/>
                <w:u w:val="none"/>
                <w:lang w:val="en-CA"/>
              </w:rPr>
            </w:pPr>
            <w:proofErr w:type="spellStart"/>
            <w:r w:rsidRPr="00EE01B4">
              <w:rPr>
                <w:rStyle w:val="Hyperlink"/>
                <w:color w:val="auto"/>
                <w:sz w:val="20"/>
                <w:szCs w:val="20"/>
                <w:u w:val="none"/>
                <w:lang w:val="en-CA"/>
              </w:rPr>
              <w:t>MedWet</w:t>
            </w:r>
            <w:proofErr w:type="spellEnd"/>
          </w:p>
          <w:p w:rsidR="0025591A" w:rsidRPr="00EE01B4" w:rsidRDefault="0025591A" w:rsidP="007F2A42">
            <w:pPr>
              <w:rPr>
                <w:rStyle w:val="Hyperlink"/>
                <w:color w:val="auto"/>
                <w:sz w:val="20"/>
                <w:szCs w:val="20"/>
                <w:u w:val="none"/>
                <w:lang w:val="en-CA"/>
              </w:rPr>
            </w:pPr>
            <w:r w:rsidRPr="00EE01B4">
              <w:rPr>
                <w:rStyle w:val="Hyperlink"/>
                <w:color w:val="auto"/>
                <w:sz w:val="20"/>
                <w:szCs w:val="20"/>
                <w:lang w:val="en-CA"/>
              </w:rPr>
              <w:t>Summary</w:t>
            </w:r>
            <w:r w:rsidRPr="00EE01B4">
              <w:rPr>
                <w:rStyle w:val="Hyperlink"/>
                <w:color w:val="auto"/>
                <w:sz w:val="20"/>
                <w:szCs w:val="20"/>
                <w:u w:val="none"/>
                <w:lang w:val="en-CA"/>
              </w:rPr>
              <w:t>: “The MWO2 updates the situation for Mediterranean wetlands since 2012, the year of publication of the MWO1, which was the first regional indicator-based assessment of the status of wetlands and the challenges that they face. This MWO-2, through its 16 indicator factsheets, provides regional support to the findings of the Ramsar Convention’s first Global Wetland Outlook (GWO): the State of the World’s Wetlands, to be issued at the 13th Meeting of Conference of the Contracting Parties to the Convention (COP13, Dubai, 21-29 October 2018)”.</w:t>
            </w:r>
          </w:p>
        </w:tc>
      </w:tr>
      <w:tr w:rsidR="0025591A" w:rsidRPr="00DF180B" w:rsidTr="004D1A4F">
        <w:tblPrEx>
          <w:tblBorders>
            <w:bottom w:val="single" w:sz="4" w:space="0" w:color="auto"/>
            <w:insideH w:val="single" w:sz="4" w:space="0" w:color="auto"/>
            <w:insideV w:val="single" w:sz="4" w:space="0" w:color="auto"/>
          </w:tblBorders>
        </w:tblPrEx>
        <w:tc>
          <w:tcPr>
            <w:tcW w:w="3053" w:type="dxa"/>
          </w:tcPr>
          <w:p w:rsidR="0025591A" w:rsidRPr="00EE01B4" w:rsidRDefault="00DF180B" w:rsidP="007F2A42">
            <w:pPr>
              <w:rPr>
                <w:sz w:val="20"/>
                <w:szCs w:val="20"/>
                <w:lang w:val="en-CA"/>
              </w:rPr>
            </w:pPr>
            <w:hyperlink r:id="rId147" w:history="1">
              <w:r w:rsidR="0025591A" w:rsidRPr="00EE01B4">
                <w:rPr>
                  <w:rStyle w:val="Hyperlink"/>
                  <w:sz w:val="20"/>
                  <w:szCs w:val="20"/>
                  <w:lang w:val="en-CA"/>
                </w:rPr>
                <w:t>Restoration of forest ecosystems and landscapes as contribution to the Aichi Biodiversity Targets - Information document submitted by IUCN</w:t>
              </w:r>
            </w:hyperlink>
          </w:p>
        </w:tc>
        <w:tc>
          <w:tcPr>
            <w:tcW w:w="2168" w:type="dxa"/>
          </w:tcPr>
          <w:p w:rsidR="0025591A" w:rsidRPr="00EE01B4" w:rsidRDefault="0025591A" w:rsidP="007F2A42">
            <w:pPr>
              <w:rPr>
                <w:rFonts w:cs="Arial"/>
                <w:sz w:val="20"/>
                <w:szCs w:val="20"/>
                <w:lang w:val="en-CA"/>
              </w:rPr>
            </w:pPr>
          </w:p>
        </w:tc>
        <w:tc>
          <w:tcPr>
            <w:tcW w:w="2582" w:type="dxa"/>
          </w:tcPr>
          <w:p w:rsidR="0025591A" w:rsidRPr="00EE01B4" w:rsidRDefault="0025591A" w:rsidP="007F2A42">
            <w:pPr>
              <w:rPr>
                <w:rFonts w:cs="Arial"/>
                <w:sz w:val="20"/>
                <w:szCs w:val="20"/>
                <w:lang w:val="en-CA"/>
              </w:rPr>
            </w:pPr>
          </w:p>
        </w:tc>
        <w:tc>
          <w:tcPr>
            <w:tcW w:w="1259" w:type="dxa"/>
          </w:tcPr>
          <w:p w:rsidR="0025591A" w:rsidRPr="00EE01B4" w:rsidRDefault="0025591A" w:rsidP="007F2A42">
            <w:pPr>
              <w:rPr>
                <w:rFonts w:cs="Arial"/>
                <w:sz w:val="20"/>
                <w:szCs w:val="20"/>
                <w:lang w:val="en-CA"/>
              </w:rPr>
            </w:pPr>
          </w:p>
        </w:tc>
        <w:tc>
          <w:tcPr>
            <w:tcW w:w="1259" w:type="dxa"/>
          </w:tcPr>
          <w:p w:rsidR="0025591A" w:rsidRPr="00EE01B4" w:rsidRDefault="0025591A" w:rsidP="007F2A42">
            <w:pPr>
              <w:rPr>
                <w:sz w:val="20"/>
                <w:szCs w:val="20"/>
                <w:lang w:val="fr-CH"/>
              </w:rPr>
            </w:pPr>
            <w:r w:rsidRPr="00EE01B4">
              <w:rPr>
                <w:sz w:val="20"/>
                <w:szCs w:val="20"/>
                <w:lang w:val="fr-CH"/>
              </w:rPr>
              <w:t>E</w:t>
            </w:r>
          </w:p>
        </w:tc>
        <w:tc>
          <w:tcPr>
            <w:tcW w:w="5293" w:type="dxa"/>
          </w:tcPr>
          <w:p w:rsidR="0025591A" w:rsidRPr="00EE01B4" w:rsidRDefault="0025591A" w:rsidP="007F2A42">
            <w:pPr>
              <w:rPr>
                <w:rStyle w:val="Hyperlink"/>
                <w:color w:val="auto"/>
                <w:sz w:val="20"/>
                <w:szCs w:val="20"/>
                <w:u w:val="none"/>
                <w:lang w:val="en-CA"/>
              </w:rPr>
            </w:pPr>
            <w:r w:rsidRPr="00EE01B4">
              <w:rPr>
                <w:rStyle w:val="Hyperlink"/>
                <w:color w:val="auto"/>
                <w:sz w:val="20"/>
                <w:szCs w:val="20"/>
                <w:u w:val="none"/>
                <w:lang w:val="en-CA"/>
              </w:rPr>
              <w:t>IUCN</w:t>
            </w:r>
          </w:p>
          <w:p w:rsidR="0025591A" w:rsidRPr="00EE01B4" w:rsidRDefault="0025591A" w:rsidP="007F2A42">
            <w:pPr>
              <w:rPr>
                <w:rStyle w:val="Hyperlink"/>
                <w:color w:val="auto"/>
                <w:sz w:val="20"/>
                <w:szCs w:val="20"/>
                <w:u w:val="none"/>
                <w:lang w:val="en-CA"/>
              </w:rPr>
            </w:pPr>
            <w:r w:rsidRPr="00EE01B4">
              <w:rPr>
                <w:rStyle w:val="Hyperlink"/>
                <w:color w:val="auto"/>
                <w:sz w:val="20"/>
                <w:szCs w:val="20"/>
                <w:lang w:val="en-CA"/>
              </w:rPr>
              <w:t>Summary</w:t>
            </w:r>
            <w:r w:rsidRPr="00EE01B4">
              <w:rPr>
                <w:rStyle w:val="Hyperlink"/>
                <w:color w:val="auto"/>
                <w:sz w:val="20"/>
                <w:szCs w:val="20"/>
                <w:u w:val="none"/>
                <w:lang w:val="en-CA"/>
              </w:rPr>
              <w:t>: “The report provides an introduction to the concept of Forest Landscape Restoration (FLR) and draws linkages between the implementation of various countries’ pledges for FLR, taken under the Bonn Challenge, and the achievement of Aichi Biodiversity Targets. Activities conducted under the Bonn challenge have the potential to contribute to support a range of Aichi Biodiversity Targets, in particular Targets 5 and 15. Aichi Biodiversity Targets 5 and 15 are relevant to items 9, 10, 13 and 19 of the provisional agenda of the thirteenth meeting of the Conference of the Parties”.</w:t>
            </w:r>
          </w:p>
        </w:tc>
      </w:tr>
      <w:tr w:rsidR="0025591A" w:rsidRPr="00DF180B" w:rsidTr="004D1A4F">
        <w:tblPrEx>
          <w:tblBorders>
            <w:bottom w:val="single" w:sz="4" w:space="0" w:color="auto"/>
            <w:insideH w:val="single" w:sz="4" w:space="0" w:color="auto"/>
            <w:insideV w:val="single" w:sz="4" w:space="0" w:color="auto"/>
          </w:tblBorders>
        </w:tblPrEx>
        <w:tc>
          <w:tcPr>
            <w:tcW w:w="3053" w:type="dxa"/>
          </w:tcPr>
          <w:p w:rsidR="0025591A" w:rsidRPr="00EE01B4" w:rsidRDefault="00DF180B" w:rsidP="007F2A42">
            <w:pPr>
              <w:rPr>
                <w:sz w:val="20"/>
                <w:szCs w:val="20"/>
                <w:lang w:val="fr-CH"/>
              </w:rPr>
            </w:pPr>
            <w:hyperlink r:id="rId148" w:history="1">
              <w:r w:rsidR="0025591A" w:rsidRPr="00EE01B4">
                <w:rPr>
                  <w:rStyle w:val="Hyperlink"/>
                  <w:sz w:val="20"/>
                  <w:szCs w:val="20"/>
                  <w:lang w:val="fr-CH"/>
                </w:rPr>
                <w:t xml:space="preserve">Water Management and </w:t>
              </w:r>
              <w:proofErr w:type="spellStart"/>
              <w:r w:rsidR="0025591A" w:rsidRPr="00EE01B4">
                <w:rPr>
                  <w:rStyle w:val="Hyperlink"/>
                  <w:sz w:val="20"/>
                  <w:szCs w:val="20"/>
                  <w:lang w:val="fr-CH"/>
                </w:rPr>
                <w:t>Stewardship</w:t>
              </w:r>
              <w:proofErr w:type="spellEnd"/>
            </w:hyperlink>
          </w:p>
        </w:tc>
        <w:tc>
          <w:tcPr>
            <w:tcW w:w="2168" w:type="dxa"/>
          </w:tcPr>
          <w:p w:rsidR="0025591A" w:rsidRPr="00EE01B4" w:rsidRDefault="0025591A" w:rsidP="007F2A42">
            <w:pPr>
              <w:rPr>
                <w:rFonts w:cs="Arial"/>
                <w:sz w:val="20"/>
                <w:szCs w:val="20"/>
                <w:lang w:val="fr-CH"/>
              </w:rPr>
            </w:pPr>
          </w:p>
        </w:tc>
        <w:tc>
          <w:tcPr>
            <w:tcW w:w="2582" w:type="dxa"/>
          </w:tcPr>
          <w:p w:rsidR="0025591A" w:rsidRPr="00EE01B4" w:rsidRDefault="0025591A" w:rsidP="007F2A42">
            <w:pPr>
              <w:rPr>
                <w:rFonts w:cs="Arial"/>
                <w:sz w:val="20"/>
                <w:szCs w:val="20"/>
                <w:lang w:val="fr-CH"/>
              </w:rPr>
            </w:pPr>
          </w:p>
        </w:tc>
        <w:tc>
          <w:tcPr>
            <w:tcW w:w="1259" w:type="dxa"/>
          </w:tcPr>
          <w:p w:rsidR="0025591A" w:rsidRPr="00EE01B4" w:rsidRDefault="0025591A" w:rsidP="007F2A42">
            <w:pPr>
              <w:rPr>
                <w:rFonts w:cs="Arial"/>
                <w:sz w:val="20"/>
                <w:szCs w:val="20"/>
                <w:lang w:val="fr-CH"/>
              </w:rPr>
            </w:pPr>
          </w:p>
        </w:tc>
        <w:tc>
          <w:tcPr>
            <w:tcW w:w="1259" w:type="dxa"/>
          </w:tcPr>
          <w:p w:rsidR="0025591A" w:rsidRPr="00EE01B4" w:rsidRDefault="0025591A" w:rsidP="007F2A42">
            <w:pPr>
              <w:rPr>
                <w:sz w:val="20"/>
                <w:szCs w:val="20"/>
                <w:lang w:val="fr-CH"/>
              </w:rPr>
            </w:pPr>
            <w:r w:rsidRPr="00EE01B4">
              <w:rPr>
                <w:sz w:val="20"/>
                <w:szCs w:val="20"/>
                <w:lang w:val="fr-CH"/>
              </w:rPr>
              <w:t>E</w:t>
            </w:r>
          </w:p>
        </w:tc>
        <w:tc>
          <w:tcPr>
            <w:tcW w:w="5293" w:type="dxa"/>
          </w:tcPr>
          <w:p w:rsidR="0025591A" w:rsidRPr="00EE01B4" w:rsidRDefault="0025591A" w:rsidP="007F2A42">
            <w:pPr>
              <w:rPr>
                <w:rStyle w:val="Hyperlink"/>
                <w:color w:val="auto"/>
                <w:sz w:val="20"/>
                <w:szCs w:val="20"/>
                <w:u w:val="none"/>
                <w:lang w:val="en-CA"/>
              </w:rPr>
            </w:pPr>
            <w:r w:rsidRPr="00EE01B4">
              <w:rPr>
                <w:rStyle w:val="Hyperlink"/>
                <w:color w:val="auto"/>
                <w:sz w:val="20"/>
                <w:szCs w:val="20"/>
                <w:u w:val="none"/>
                <w:lang w:val="en-CA"/>
              </w:rPr>
              <w:t>IUCN</w:t>
            </w:r>
          </w:p>
          <w:p w:rsidR="0025591A" w:rsidRPr="00EE01B4" w:rsidRDefault="0025591A" w:rsidP="007F2A42">
            <w:pPr>
              <w:rPr>
                <w:rStyle w:val="Hyperlink"/>
                <w:color w:val="auto"/>
                <w:sz w:val="20"/>
                <w:szCs w:val="20"/>
                <w:u w:val="none"/>
                <w:lang w:val="en-CA"/>
              </w:rPr>
            </w:pPr>
            <w:r w:rsidRPr="00EE01B4">
              <w:rPr>
                <w:rStyle w:val="Hyperlink"/>
                <w:color w:val="auto"/>
                <w:sz w:val="20"/>
                <w:szCs w:val="20"/>
                <w:lang w:val="en-CA"/>
              </w:rPr>
              <w:t>Summary</w:t>
            </w:r>
            <w:r w:rsidRPr="00EE01B4">
              <w:rPr>
                <w:rStyle w:val="Hyperlink"/>
                <w:color w:val="auto"/>
                <w:sz w:val="20"/>
                <w:szCs w:val="20"/>
                <w:u w:val="none"/>
                <w:lang w:val="en-CA"/>
              </w:rPr>
              <w:t>: “The purpose of this paper is to ‘take stock’ of the discussions, based on what private companies are doing – and not doing, or doing less - in relation to water management and particularly in relation to ‘water stewardship’. These pages do not try to trace the history and origins of corporate water stewardship11. The subject of discussion here is multi-faceted and complex. In ‘taking stock’ of the debate, this ‘discussion paper’ asks as many questions as it attempts to answer – hence its title”.</w:t>
            </w:r>
          </w:p>
        </w:tc>
      </w:tr>
      <w:tr w:rsidR="0025591A" w:rsidRPr="00DF180B" w:rsidTr="004D1A4F">
        <w:tblPrEx>
          <w:tblBorders>
            <w:bottom w:val="single" w:sz="4" w:space="0" w:color="auto"/>
            <w:insideH w:val="single" w:sz="4" w:space="0" w:color="auto"/>
            <w:insideV w:val="single" w:sz="4" w:space="0" w:color="auto"/>
          </w:tblBorders>
        </w:tblPrEx>
        <w:tc>
          <w:tcPr>
            <w:tcW w:w="3053" w:type="dxa"/>
          </w:tcPr>
          <w:p w:rsidR="0025591A" w:rsidRPr="00EE01B4" w:rsidRDefault="00DF180B" w:rsidP="007F2A42">
            <w:pPr>
              <w:rPr>
                <w:sz w:val="20"/>
                <w:szCs w:val="20"/>
                <w:lang w:val="en-CA"/>
              </w:rPr>
            </w:pPr>
            <w:hyperlink r:id="rId149" w:history="1">
              <w:r w:rsidR="0025591A" w:rsidRPr="00EE01B4">
                <w:rPr>
                  <w:rStyle w:val="Hyperlink"/>
                  <w:sz w:val="20"/>
                  <w:szCs w:val="20"/>
                  <w:lang w:val="en-CA"/>
                </w:rPr>
                <w:t xml:space="preserve">European Union overseas coastal and marine protected areas - overview of coastal and marine conservation efforts in the European Union's overseas </w:t>
              </w:r>
              <w:r w:rsidR="0025591A" w:rsidRPr="00EE01B4">
                <w:rPr>
                  <w:rStyle w:val="Hyperlink"/>
                  <w:sz w:val="20"/>
                  <w:szCs w:val="20"/>
                  <w:lang w:val="en-CA"/>
                </w:rPr>
                <w:lastRenderedPageBreak/>
                <w:t>countries and territories and outermost regions</w:t>
              </w:r>
            </w:hyperlink>
          </w:p>
        </w:tc>
        <w:tc>
          <w:tcPr>
            <w:tcW w:w="2168" w:type="dxa"/>
          </w:tcPr>
          <w:p w:rsidR="0025591A" w:rsidRPr="00EE01B4" w:rsidRDefault="0025591A" w:rsidP="007F2A42">
            <w:pPr>
              <w:rPr>
                <w:rFonts w:cs="Arial"/>
                <w:sz w:val="20"/>
                <w:szCs w:val="20"/>
                <w:lang w:val="en-CA"/>
              </w:rPr>
            </w:pPr>
          </w:p>
        </w:tc>
        <w:tc>
          <w:tcPr>
            <w:tcW w:w="2582" w:type="dxa"/>
          </w:tcPr>
          <w:p w:rsidR="0025591A" w:rsidRPr="00EE01B4" w:rsidRDefault="0025591A" w:rsidP="007F2A42">
            <w:pPr>
              <w:rPr>
                <w:rFonts w:cs="Arial"/>
                <w:sz w:val="20"/>
                <w:szCs w:val="20"/>
                <w:lang w:val="en-CA"/>
              </w:rPr>
            </w:pPr>
          </w:p>
        </w:tc>
        <w:tc>
          <w:tcPr>
            <w:tcW w:w="1259" w:type="dxa"/>
          </w:tcPr>
          <w:p w:rsidR="0025591A" w:rsidRPr="00EE01B4" w:rsidRDefault="0025591A" w:rsidP="007F2A42">
            <w:pPr>
              <w:rPr>
                <w:rFonts w:cs="Arial"/>
                <w:sz w:val="20"/>
                <w:szCs w:val="20"/>
                <w:lang w:val="en-CA"/>
              </w:rPr>
            </w:pPr>
          </w:p>
        </w:tc>
        <w:tc>
          <w:tcPr>
            <w:tcW w:w="1259" w:type="dxa"/>
          </w:tcPr>
          <w:p w:rsidR="0025591A" w:rsidRPr="00EE01B4" w:rsidRDefault="0025591A" w:rsidP="007F2A42">
            <w:pPr>
              <w:rPr>
                <w:sz w:val="20"/>
                <w:szCs w:val="20"/>
                <w:lang w:val="fr-CH"/>
              </w:rPr>
            </w:pPr>
            <w:r w:rsidRPr="00EE01B4">
              <w:rPr>
                <w:sz w:val="20"/>
                <w:szCs w:val="20"/>
                <w:lang w:val="fr-CH"/>
              </w:rPr>
              <w:t>E</w:t>
            </w:r>
          </w:p>
        </w:tc>
        <w:tc>
          <w:tcPr>
            <w:tcW w:w="5293" w:type="dxa"/>
          </w:tcPr>
          <w:p w:rsidR="0025591A" w:rsidRPr="00EE01B4" w:rsidRDefault="0025591A" w:rsidP="007F2A42">
            <w:pPr>
              <w:rPr>
                <w:rStyle w:val="Hyperlink"/>
                <w:color w:val="auto"/>
                <w:sz w:val="20"/>
                <w:szCs w:val="20"/>
                <w:u w:val="none"/>
                <w:lang w:val="en-CA"/>
              </w:rPr>
            </w:pPr>
            <w:r w:rsidRPr="00EE01B4">
              <w:rPr>
                <w:rStyle w:val="Hyperlink"/>
                <w:color w:val="auto"/>
                <w:sz w:val="20"/>
                <w:szCs w:val="20"/>
                <w:u w:val="none"/>
                <w:lang w:val="en-CA"/>
              </w:rPr>
              <w:t>IUCN</w:t>
            </w:r>
          </w:p>
          <w:p w:rsidR="0025591A" w:rsidRPr="00EE01B4" w:rsidRDefault="0025591A" w:rsidP="007F2A42">
            <w:pPr>
              <w:rPr>
                <w:rStyle w:val="Hyperlink"/>
                <w:color w:val="auto"/>
                <w:sz w:val="20"/>
                <w:szCs w:val="20"/>
                <w:u w:val="none"/>
                <w:lang w:val="en-CA"/>
              </w:rPr>
            </w:pPr>
            <w:r w:rsidRPr="00EE01B4">
              <w:rPr>
                <w:rStyle w:val="Hyperlink"/>
                <w:color w:val="auto"/>
                <w:sz w:val="20"/>
                <w:szCs w:val="20"/>
                <w:lang w:val="en-CA"/>
              </w:rPr>
              <w:t>Summary</w:t>
            </w:r>
            <w:r w:rsidRPr="00EE01B4">
              <w:rPr>
                <w:rStyle w:val="Hyperlink"/>
                <w:color w:val="auto"/>
                <w:sz w:val="20"/>
                <w:szCs w:val="20"/>
                <w:u w:val="none"/>
                <w:lang w:val="en-CA"/>
              </w:rPr>
              <w:t>: “This report provides a first comprehensive overview of marine conservation efforts in the EU</w:t>
            </w:r>
          </w:p>
          <w:p w:rsidR="0025591A" w:rsidRPr="00EE01B4" w:rsidRDefault="0025591A" w:rsidP="007F2A42">
            <w:pPr>
              <w:rPr>
                <w:rStyle w:val="Hyperlink"/>
                <w:color w:val="auto"/>
                <w:sz w:val="20"/>
                <w:szCs w:val="20"/>
                <w:u w:val="none"/>
                <w:lang w:val="en-CA"/>
              </w:rPr>
            </w:pPr>
            <w:r w:rsidRPr="00EE01B4">
              <w:rPr>
                <w:rStyle w:val="Hyperlink"/>
                <w:color w:val="auto"/>
                <w:sz w:val="20"/>
                <w:szCs w:val="20"/>
                <w:u w:val="none"/>
                <w:lang w:val="en-CA"/>
              </w:rPr>
              <w:t xml:space="preserve">Overseas: In the context of rapid global development in these areas, it takes stock and pinpoints the actions required to </w:t>
            </w:r>
            <w:r w:rsidRPr="00EE01B4">
              <w:rPr>
                <w:rStyle w:val="Hyperlink"/>
                <w:color w:val="auto"/>
                <w:sz w:val="20"/>
                <w:szCs w:val="20"/>
                <w:u w:val="none"/>
                <w:lang w:val="en-CA"/>
              </w:rPr>
              <w:lastRenderedPageBreak/>
              <w:t>improve marine protection and strengthen resilience in these diverse territories and to reconcile this with the opportunities provided by development of the blue economy and the challenges in the face of climate change”.</w:t>
            </w:r>
          </w:p>
        </w:tc>
      </w:tr>
      <w:tr w:rsidR="0025591A" w:rsidRPr="00DF180B" w:rsidTr="004D1A4F">
        <w:tblPrEx>
          <w:tblBorders>
            <w:bottom w:val="single" w:sz="4" w:space="0" w:color="auto"/>
            <w:insideH w:val="single" w:sz="4" w:space="0" w:color="auto"/>
            <w:insideV w:val="single" w:sz="4" w:space="0" w:color="auto"/>
          </w:tblBorders>
        </w:tblPrEx>
        <w:tc>
          <w:tcPr>
            <w:tcW w:w="3053" w:type="dxa"/>
          </w:tcPr>
          <w:p w:rsidR="0025591A" w:rsidRPr="00EE01B4" w:rsidRDefault="00DF180B" w:rsidP="007F2A42">
            <w:pPr>
              <w:rPr>
                <w:sz w:val="20"/>
                <w:szCs w:val="20"/>
                <w:lang w:val="en-CA"/>
              </w:rPr>
            </w:pPr>
            <w:hyperlink r:id="rId150" w:history="1">
              <w:r w:rsidR="0025591A" w:rsidRPr="00EE01B4">
                <w:rPr>
                  <w:rStyle w:val="Hyperlink"/>
                  <w:sz w:val="20"/>
                  <w:szCs w:val="20"/>
                  <w:lang w:val="en-CA"/>
                </w:rPr>
                <w:t>Capacity building and synergies across the biodiversity-related conventions - Contributing to the design and subsequent implementation of a long-term strategic framework for capacity building for biodiversity beyond 2020</w:t>
              </w:r>
            </w:hyperlink>
          </w:p>
        </w:tc>
        <w:tc>
          <w:tcPr>
            <w:tcW w:w="2168" w:type="dxa"/>
          </w:tcPr>
          <w:p w:rsidR="0025591A" w:rsidRPr="00EE01B4" w:rsidRDefault="0025591A" w:rsidP="007F2A42">
            <w:pPr>
              <w:rPr>
                <w:rFonts w:cs="Arial"/>
                <w:sz w:val="20"/>
                <w:szCs w:val="20"/>
                <w:lang w:val="en-CA"/>
              </w:rPr>
            </w:pPr>
          </w:p>
        </w:tc>
        <w:tc>
          <w:tcPr>
            <w:tcW w:w="2582" w:type="dxa"/>
          </w:tcPr>
          <w:p w:rsidR="0025591A" w:rsidRPr="00EE01B4" w:rsidRDefault="0025591A" w:rsidP="007F2A42">
            <w:pPr>
              <w:rPr>
                <w:rFonts w:cs="Arial"/>
                <w:sz w:val="20"/>
                <w:szCs w:val="20"/>
                <w:lang w:val="en-CA"/>
              </w:rPr>
            </w:pPr>
          </w:p>
        </w:tc>
        <w:tc>
          <w:tcPr>
            <w:tcW w:w="1259" w:type="dxa"/>
          </w:tcPr>
          <w:p w:rsidR="0025591A" w:rsidRPr="00EE01B4" w:rsidRDefault="0025591A" w:rsidP="007F2A42">
            <w:pPr>
              <w:rPr>
                <w:rFonts w:cs="Arial"/>
                <w:sz w:val="20"/>
                <w:szCs w:val="20"/>
                <w:lang w:val="en-CA"/>
              </w:rPr>
            </w:pPr>
          </w:p>
        </w:tc>
        <w:tc>
          <w:tcPr>
            <w:tcW w:w="1259" w:type="dxa"/>
          </w:tcPr>
          <w:p w:rsidR="0025591A" w:rsidRPr="00EE01B4" w:rsidRDefault="0025591A" w:rsidP="007F2A42">
            <w:pPr>
              <w:rPr>
                <w:sz w:val="20"/>
                <w:szCs w:val="20"/>
                <w:lang w:val="fr-CH"/>
              </w:rPr>
            </w:pPr>
            <w:r w:rsidRPr="00EE01B4">
              <w:rPr>
                <w:sz w:val="20"/>
                <w:szCs w:val="20"/>
                <w:lang w:val="fr-CH"/>
              </w:rPr>
              <w:t>E</w:t>
            </w:r>
          </w:p>
        </w:tc>
        <w:tc>
          <w:tcPr>
            <w:tcW w:w="5293" w:type="dxa"/>
          </w:tcPr>
          <w:p w:rsidR="0025591A" w:rsidRPr="00EE01B4" w:rsidRDefault="0025591A" w:rsidP="007F2A42">
            <w:pPr>
              <w:rPr>
                <w:rStyle w:val="Hyperlink"/>
                <w:color w:val="auto"/>
                <w:sz w:val="20"/>
                <w:szCs w:val="20"/>
                <w:u w:val="none"/>
                <w:lang w:val="en-CA"/>
              </w:rPr>
            </w:pPr>
            <w:r w:rsidRPr="00EE01B4">
              <w:rPr>
                <w:rStyle w:val="Hyperlink"/>
                <w:color w:val="auto"/>
                <w:sz w:val="20"/>
                <w:szCs w:val="20"/>
                <w:u w:val="none"/>
                <w:lang w:val="en-CA"/>
              </w:rPr>
              <w:t>IUCN</w:t>
            </w:r>
          </w:p>
          <w:p w:rsidR="0025591A" w:rsidRPr="00EE01B4" w:rsidRDefault="0025591A" w:rsidP="007F2A42">
            <w:pPr>
              <w:rPr>
                <w:rStyle w:val="Hyperlink"/>
                <w:color w:val="auto"/>
                <w:sz w:val="20"/>
                <w:szCs w:val="20"/>
                <w:u w:val="none"/>
                <w:lang w:val="en-CA"/>
              </w:rPr>
            </w:pPr>
            <w:r w:rsidRPr="00EE01B4">
              <w:rPr>
                <w:rStyle w:val="Hyperlink"/>
                <w:color w:val="auto"/>
                <w:sz w:val="20"/>
                <w:szCs w:val="20"/>
                <w:lang w:val="en-CA"/>
              </w:rPr>
              <w:t>Summary</w:t>
            </w:r>
            <w:r w:rsidRPr="00EE01B4">
              <w:rPr>
                <w:rStyle w:val="Hyperlink"/>
                <w:color w:val="auto"/>
                <w:sz w:val="20"/>
                <w:szCs w:val="20"/>
                <w:u w:val="none"/>
                <w:lang w:val="en-CA"/>
              </w:rPr>
              <w:t>: The results of an survey among IUCN Members to gather views on capacity building needs for coherent implementation of the biodiversity-related conventions and assess the interlinkages between capacity building activities leading to enhanced cooperation and collaboration between these conventions are presented in this paper and constitute a contribution to the preparation of a long-term strategic framework for capacity building beyond 2020, as mandated by CBD Decision XIII/23.</w:t>
            </w:r>
          </w:p>
        </w:tc>
      </w:tr>
      <w:tr w:rsidR="0025591A" w:rsidRPr="00EE01B4" w:rsidTr="004D1A4F">
        <w:tblPrEx>
          <w:tblBorders>
            <w:bottom w:val="single" w:sz="4" w:space="0" w:color="auto"/>
            <w:insideH w:val="single" w:sz="4" w:space="0" w:color="auto"/>
            <w:insideV w:val="single" w:sz="4" w:space="0" w:color="auto"/>
          </w:tblBorders>
        </w:tblPrEx>
        <w:tc>
          <w:tcPr>
            <w:tcW w:w="3053" w:type="dxa"/>
          </w:tcPr>
          <w:p w:rsidR="0025591A" w:rsidRPr="00EE01B4" w:rsidRDefault="00DF180B" w:rsidP="007F2A42">
            <w:pPr>
              <w:rPr>
                <w:sz w:val="20"/>
                <w:szCs w:val="20"/>
                <w:lang w:val="en-CA"/>
              </w:rPr>
            </w:pPr>
            <w:hyperlink r:id="rId151" w:history="1">
              <w:r w:rsidR="0025591A" w:rsidRPr="00EE01B4">
                <w:rPr>
                  <w:rStyle w:val="Hyperlink"/>
                  <w:sz w:val="20"/>
                  <w:szCs w:val="20"/>
                  <w:lang w:val="en-CA"/>
                </w:rPr>
                <w:t>The United Nations World Water Development Report 2018: Nature-based solutions for water</w:t>
              </w:r>
            </w:hyperlink>
          </w:p>
        </w:tc>
        <w:tc>
          <w:tcPr>
            <w:tcW w:w="2168" w:type="dxa"/>
          </w:tcPr>
          <w:p w:rsidR="0025591A" w:rsidRPr="00EE01B4" w:rsidRDefault="0025591A" w:rsidP="007F2A42">
            <w:pPr>
              <w:rPr>
                <w:rFonts w:cs="Arial"/>
                <w:sz w:val="20"/>
                <w:szCs w:val="20"/>
                <w:lang w:val="en-CA"/>
              </w:rPr>
            </w:pPr>
          </w:p>
        </w:tc>
        <w:tc>
          <w:tcPr>
            <w:tcW w:w="2582" w:type="dxa"/>
          </w:tcPr>
          <w:p w:rsidR="0025591A" w:rsidRPr="00EE01B4" w:rsidRDefault="0025591A" w:rsidP="007F2A42">
            <w:pPr>
              <w:rPr>
                <w:rFonts w:cs="Arial"/>
                <w:sz w:val="20"/>
                <w:szCs w:val="20"/>
                <w:lang w:val="en-CA"/>
              </w:rPr>
            </w:pPr>
          </w:p>
        </w:tc>
        <w:tc>
          <w:tcPr>
            <w:tcW w:w="1259" w:type="dxa"/>
          </w:tcPr>
          <w:p w:rsidR="0025591A" w:rsidRPr="00EE01B4" w:rsidRDefault="0025591A" w:rsidP="007F2A42">
            <w:pPr>
              <w:rPr>
                <w:rFonts w:cs="Arial"/>
                <w:sz w:val="20"/>
                <w:szCs w:val="20"/>
                <w:lang w:val="en-CA"/>
              </w:rPr>
            </w:pPr>
          </w:p>
        </w:tc>
        <w:tc>
          <w:tcPr>
            <w:tcW w:w="1259" w:type="dxa"/>
          </w:tcPr>
          <w:p w:rsidR="0025591A" w:rsidRPr="00EE01B4" w:rsidRDefault="0025591A" w:rsidP="007F2A42">
            <w:pPr>
              <w:rPr>
                <w:sz w:val="20"/>
                <w:szCs w:val="20"/>
                <w:lang w:val="fr-CH"/>
              </w:rPr>
            </w:pPr>
            <w:r w:rsidRPr="00EE01B4">
              <w:rPr>
                <w:sz w:val="20"/>
                <w:szCs w:val="20"/>
                <w:lang w:val="fr-CH"/>
              </w:rPr>
              <w:t>EFS</w:t>
            </w:r>
          </w:p>
        </w:tc>
        <w:tc>
          <w:tcPr>
            <w:tcW w:w="5293" w:type="dxa"/>
          </w:tcPr>
          <w:p w:rsidR="0025591A" w:rsidRPr="00EE01B4" w:rsidRDefault="0025591A" w:rsidP="007F2A42">
            <w:pPr>
              <w:rPr>
                <w:rStyle w:val="Hyperlink"/>
                <w:color w:val="auto"/>
                <w:sz w:val="20"/>
                <w:szCs w:val="20"/>
                <w:u w:val="none"/>
                <w:lang w:val="en-CA"/>
              </w:rPr>
            </w:pPr>
            <w:r w:rsidRPr="00EE01B4">
              <w:rPr>
                <w:rStyle w:val="Hyperlink"/>
                <w:color w:val="auto"/>
                <w:sz w:val="20"/>
                <w:szCs w:val="20"/>
                <w:u w:val="none"/>
                <w:lang w:val="en-CA"/>
              </w:rPr>
              <w:t>UNESCO</w:t>
            </w:r>
          </w:p>
          <w:p w:rsidR="0025591A" w:rsidRPr="00EE01B4" w:rsidRDefault="0025591A" w:rsidP="007F2A42">
            <w:pPr>
              <w:rPr>
                <w:rStyle w:val="Hyperlink"/>
                <w:color w:val="auto"/>
                <w:sz w:val="20"/>
                <w:szCs w:val="20"/>
                <w:u w:val="none"/>
                <w:lang w:val="en-CA"/>
              </w:rPr>
            </w:pPr>
            <w:r w:rsidRPr="00EE01B4">
              <w:rPr>
                <w:rStyle w:val="Hyperlink"/>
                <w:color w:val="auto"/>
                <w:sz w:val="20"/>
                <w:szCs w:val="20"/>
                <w:lang w:val="en-CA"/>
              </w:rPr>
              <w:t>Summary</w:t>
            </w:r>
            <w:r w:rsidRPr="00EE01B4">
              <w:rPr>
                <w:rStyle w:val="Hyperlink"/>
                <w:color w:val="auto"/>
                <w:sz w:val="20"/>
                <w:szCs w:val="20"/>
                <w:u w:val="none"/>
                <w:lang w:val="en-CA"/>
              </w:rPr>
              <w:t>: “As the fifth in a series of annual, theme-oriented reports, the 2018 edition of the United Nations World</w:t>
            </w:r>
          </w:p>
          <w:p w:rsidR="0025591A" w:rsidRPr="00EE01B4" w:rsidRDefault="0025591A" w:rsidP="007F2A42">
            <w:pPr>
              <w:rPr>
                <w:rStyle w:val="Hyperlink"/>
                <w:color w:val="auto"/>
                <w:sz w:val="20"/>
                <w:szCs w:val="20"/>
                <w:u w:val="none"/>
                <w:lang w:val="en-CA"/>
              </w:rPr>
            </w:pPr>
            <w:r w:rsidRPr="00EE01B4">
              <w:rPr>
                <w:rStyle w:val="Hyperlink"/>
                <w:color w:val="auto"/>
                <w:sz w:val="20"/>
                <w:szCs w:val="20"/>
                <w:u w:val="none"/>
                <w:lang w:val="en-CA"/>
              </w:rPr>
              <w:t>Development Report (WWDR) focuses on opportunities to harness the natural processes that regulate</w:t>
            </w:r>
          </w:p>
          <w:p w:rsidR="0025591A" w:rsidRPr="00EE01B4" w:rsidRDefault="0025591A" w:rsidP="007F2A42">
            <w:pPr>
              <w:rPr>
                <w:rStyle w:val="Hyperlink"/>
                <w:color w:val="auto"/>
                <w:sz w:val="20"/>
                <w:szCs w:val="20"/>
                <w:u w:val="none"/>
                <w:lang w:val="en-CA"/>
              </w:rPr>
            </w:pPr>
            <w:r w:rsidRPr="00EE01B4">
              <w:rPr>
                <w:rStyle w:val="Hyperlink"/>
                <w:color w:val="auto"/>
                <w:sz w:val="20"/>
                <w:szCs w:val="20"/>
                <w:u w:val="none"/>
                <w:lang w:val="en-CA"/>
              </w:rPr>
              <w:t>various elements of the water cycle, which have become collectively known as nature-based solutions</w:t>
            </w:r>
          </w:p>
          <w:p w:rsidR="0025591A" w:rsidRPr="00EE01B4" w:rsidRDefault="0025591A" w:rsidP="007F2A42">
            <w:pPr>
              <w:rPr>
                <w:rStyle w:val="Hyperlink"/>
                <w:color w:val="auto"/>
                <w:sz w:val="20"/>
                <w:szCs w:val="20"/>
                <w:u w:val="none"/>
                <w:lang w:val="fr-CH"/>
              </w:rPr>
            </w:pPr>
            <w:r w:rsidRPr="00EE01B4">
              <w:rPr>
                <w:rStyle w:val="Hyperlink"/>
                <w:color w:val="auto"/>
                <w:sz w:val="20"/>
                <w:szCs w:val="20"/>
                <w:u w:val="none"/>
                <w:lang w:val="fr-CH"/>
              </w:rPr>
              <w:t>(NBS) for water”.</w:t>
            </w:r>
          </w:p>
        </w:tc>
      </w:tr>
      <w:tr w:rsidR="0025591A" w:rsidRPr="00EE01B4" w:rsidTr="009D62D8">
        <w:tblPrEx>
          <w:tblBorders>
            <w:bottom w:val="single" w:sz="4" w:space="0" w:color="auto"/>
            <w:insideH w:val="single" w:sz="4" w:space="0" w:color="auto"/>
            <w:insideV w:val="single" w:sz="4" w:space="0" w:color="auto"/>
          </w:tblBorders>
        </w:tblPrEx>
        <w:tc>
          <w:tcPr>
            <w:tcW w:w="15614" w:type="dxa"/>
            <w:gridSpan w:val="6"/>
            <w:shd w:val="clear" w:color="auto" w:fill="FBD4B4" w:themeFill="accent6" w:themeFillTint="66"/>
          </w:tcPr>
          <w:p w:rsidR="0025591A" w:rsidRPr="00EE01B4" w:rsidRDefault="005B2BD3" w:rsidP="00B5352E">
            <w:pPr>
              <w:rPr>
                <w:rStyle w:val="Hyperlink"/>
                <w:color w:val="auto"/>
                <w:sz w:val="20"/>
                <w:szCs w:val="20"/>
                <w:u w:val="none"/>
                <w:lang w:val="fr-FR"/>
              </w:rPr>
            </w:pPr>
            <w:r w:rsidRPr="00EE01B4">
              <w:rPr>
                <w:rFonts w:cs="Arial"/>
                <w:b/>
                <w:sz w:val="20"/>
                <w:szCs w:val="20"/>
                <w:lang w:val="fr-CH"/>
              </w:rPr>
              <w:t>Jusqu’en 2015</w:t>
            </w:r>
          </w:p>
        </w:tc>
      </w:tr>
      <w:tr w:rsidR="0025591A" w:rsidRPr="00EE01B4" w:rsidTr="004D1A4F">
        <w:tblPrEx>
          <w:tblBorders>
            <w:bottom w:val="single" w:sz="4" w:space="0" w:color="auto"/>
            <w:insideH w:val="single" w:sz="4" w:space="0" w:color="auto"/>
            <w:insideV w:val="single" w:sz="4" w:space="0" w:color="auto"/>
          </w:tblBorders>
        </w:tblPrEx>
        <w:tc>
          <w:tcPr>
            <w:tcW w:w="3053" w:type="dxa"/>
          </w:tcPr>
          <w:p w:rsidR="0025591A" w:rsidRPr="00EE01B4" w:rsidRDefault="00DF180B" w:rsidP="00B5352E">
            <w:pPr>
              <w:spacing w:after="40"/>
              <w:rPr>
                <w:sz w:val="20"/>
                <w:szCs w:val="20"/>
                <w:lang w:val="en-GB"/>
              </w:rPr>
            </w:pPr>
            <w:hyperlink r:id="rId152" w:history="1">
              <w:r w:rsidR="0025591A" w:rsidRPr="00EE01B4">
                <w:rPr>
                  <w:rStyle w:val="Hyperlink"/>
                  <w:sz w:val="20"/>
                  <w:szCs w:val="20"/>
                  <w:lang w:val="en-GB"/>
                </w:rPr>
                <w:t>Natural infrastructure in the nexus</w:t>
              </w:r>
            </w:hyperlink>
          </w:p>
        </w:tc>
        <w:tc>
          <w:tcPr>
            <w:tcW w:w="2168" w:type="dxa"/>
          </w:tcPr>
          <w:p w:rsidR="0025591A" w:rsidRPr="00EE01B4" w:rsidRDefault="0025591A" w:rsidP="00B5352E">
            <w:pPr>
              <w:rPr>
                <w:rFonts w:cs="Arial"/>
                <w:sz w:val="20"/>
                <w:szCs w:val="20"/>
                <w:lang w:val="en-GB"/>
              </w:rPr>
            </w:pPr>
          </w:p>
        </w:tc>
        <w:tc>
          <w:tcPr>
            <w:tcW w:w="2582" w:type="dxa"/>
          </w:tcPr>
          <w:p w:rsidR="0025591A" w:rsidRPr="00EE01B4" w:rsidRDefault="0025591A" w:rsidP="00B5352E">
            <w:pPr>
              <w:rPr>
                <w:rFonts w:cs="Arial"/>
                <w:sz w:val="20"/>
                <w:szCs w:val="20"/>
                <w:lang w:val="en-GB"/>
              </w:rPr>
            </w:pPr>
          </w:p>
        </w:tc>
        <w:tc>
          <w:tcPr>
            <w:tcW w:w="1259" w:type="dxa"/>
          </w:tcPr>
          <w:p w:rsidR="0025591A" w:rsidRPr="00EE01B4" w:rsidRDefault="0025591A" w:rsidP="00B5352E">
            <w:pPr>
              <w:rPr>
                <w:rFonts w:cs="Arial"/>
                <w:sz w:val="20"/>
                <w:szCs w:val="20"/>
                <w:lang w:val="en-GB"/>
              </w:rPr>
            </w:pPr>
          </w:p>
        </w:tc>
        <w:tc>
          <w:tcPr>
            <w:tcW w:w="1259" w:type="dxa"/>
          </w:tcPr>
          <w:p w:rsidR="0025591A" w:rsidRPr="00EE01B4" w:rsidRDefault="0025591A" w:rsidP="00B5352E">
            <w:pPr>
              <w:spacing w:after="40"/>
              <w:rPr>
                <w:sz w:val="20"/>
                <w:szCs w:val="20"/>
                <w:lang w:val="fr-FR"/>
              </w:rPr>
            </w:pPr>
            <w:r w:rsidRPr="00EE01B4">
              <w:rPr>
                <w:sz w:val="20"/>
                <w:szCs w:val="20"/>
                <w:lang w:val="fr-FR"/>
              </w:rPr>
              <w:t>E</w:t>
            </w:r>
          </w:p>
        </w:tc>
        <w:tc>
          <w:tcPr>
            <w:tcW w:w="5293" w:type="dxa"/>
          </w:tcPr>
          <w:p w:rsidR="0025591A" w:rsidRPr="00EE01B4" w:rsidRDefault="0025591A" w:rsidP="00B5352E">
            <w:pPr>
              <w:rPr>
                <w:rStyle w:val="Hyperlink"/>
                <w:color w:val="auto"/>
                <w:sz w:val="20"/>
                <w:szCs w:val="20"/>
                <w:u w:val="none"/>
                <w:lang w:val="fr-FR"/>
              </w:rPr>
            </w:pPr>
            <w:r w:rsidRPr="00EE01B4">
              <w:rPr>
                <w:rStyle w:val="Hyperlink"/>
                <w:color w:val="auto"/>
                <w:sz w:val="20"/>
                <w:szCs w:val="20"/>
                <w:u w:val="none"/>
                <w:lang w:val="fr-FR"/>
              </w:rPr>
              <w:t>UICN, IWA, WRI</w:t>
            </w:r>
          </w:p>
        </w:tc>
      </w:tr>
      <w:tr w:rsidR="0025591A" w:rsidRPr="00EE01B4" w:rsidTr="004D1A4F">
        <w:tblPrEx>
          <w:tblBorders>
            <w:bottom w:val="single" w:sz="4" w:space="0" w:color="auto"/>
            <w:insideH w:val="single" w:sz="4" w:space="0" w:color="auto"/>
            <w:insideV w:val="single" w:sz="4" w:space="0" w:color="auto"/>
          </w:tblBorders>
        </w:tblPrEx>
        <w:tc>
          <w:tcPr>
            <w:tcW w:w="3053" w:type="dxa"/>
          </w:tcPr>
          <w:p w:rsidR="0025591A" w:rsidRPr="00EE01B4" w:rsidRDefault="00DF180B" w:rsidP="00B5352E">
            <w:pPr>
              <w:spacing w:after="40"/>
              <w:rPr>
                <w:color w:val="0066FF"/>
                <w:sz w:val="20"/>
                <w:szCs w:val="20"/>
                <w:lang w:val="en-GB"/>
              </w:rPr>
            </w:pPr>
            <w:hyperlink r:id="rId153" w:history="1">
              <w:r w:rsidR="0025591A" w:rsidRPr="00EE01B4">
                <w:rPr>
                  <w:rStyle w:val="Hyperlink"/>
                  <w:sz w:val="20"/>
                  <w:szCs w:val="20"/>
                  <w:lang w:val="en-GB"/>
                </w:rPr>
                <w:t>Green infrastructure guide for water management</w:t>
              </w:r>
            </w:hyperlink>
            <w:r w:rsidR="0025591A" w:rsidRPr="00EE01B4">
              <w:rPr>
                <w:sz w:val="20"/>
                <w:szCs w:val="20"/>
                <w:lang w:val="en-GB"/>
              </w:rPr>
              <w:t xml:space="preserve"> </w:t>
            </w:r>
          </w:p>
        </w:tc>
        <w:tc>
          <w:tcPr>
            <w:tcW w:w="2168" w:type="dxa"/>
          </w:tcPr>
          <w:p w:rsidR="0025591A" w:rsidRPr="00EE01B4" w:rsidRDefault="0025591A" w:rsidP="00B5352E">
            <w:pPr>
              <w:rPr>
                <w:rFonts w:cs="Arial"/>
                <w:sz w:val="20"/>
                <w:szCs w:val="20"/>
                <w:lang w:val="en-GB"/>
              </w:rPr>
            </w:pPr>
          </w:p>
        </w:tc>
        <w:tc>
          <w:tcPr>
            <w:tcW w:w="2582" w:type="dxa"/>
          </w:tcPr>
          <w:p w:rsidR="0025591A" w:rsidRPr="00EE01B4" w:rsidRDefault="0025591A" w:rsidP="00B5352E">
            <w:pPr>
              <w:rPr>
                <w:rFonts w:cs="Arial"/>
                <w:sz w:val="20"/>
                <w:szCs w:val="20"/>
                <w:lang w:val="en-GB"/>
              </w:rPr>
            </w:pPr>
          </w:p>
        </w:tc>
        <w:tc>
          <w:tcPr>
            <w:tcW w:w="1259" w:type="dxa"/>
          </w:tcPr>
          <w:p w:rsidR="0025591A" w:rsidRPr="00EE01B4" w:rsidRDefault="0025591A" w:rsidP="00B5352E">
            <w:pPr>
              <w:rPr>
                <w:rFonts w:cs="Arial"/>
                <w:sz w:val="20"/>
                <w:szCs w:val="20"/>
                <w:lang w:val="en-GB"/>
              </w:rPr>
            </w:pPr>
          </w:p>
        </w:tc>
        <w:tc>
          <w:tcPr>
            <w:tcW w:w="1259" w:type="dxa"/>
          </w:tcPr>
          <w:p w:rsidR="0025591A" w:rsidRPr="00EE01B4" w:rsidRDefault="0025591A" w:rsidP="00B5352E">
            <w:pPr>
              <w:spacing w:after="40"/>
              <w:rPr>
                <w:sz w:val="20"/>
                <w:szCs w:val="20"/>
                <w:lang w:val="fr-FR"/>
              </w:rPr>
            </w:pPr>
            <w:r w:rsidRPr="00EE01B4">
              <w:rPr>
                <w:sz w:val="20"/>
                <w:szCs w:val="20"/>
                <w:lang w:val="fr-FR"/>
              </w:rPr>
              <w:t>E</w:t>
            </w:r>
          </w:p>
        </w:tc>
        <w:tc>
          <w:tcPr>
            <w:tcW w:w="5293" w:type="dxa"/>
          </w:tcPr>
          <w:p w:rsidR="0025591A" w:rsidRPr="00EE01B4" w:rsidRDefault="0025591A" w:rsidP="00BC367E">
            <w:pPr>
              <w:rPr>
                <w:rStyle w:val="Hyperlink"/>
                <w:color w:val="auto"/>
                <w:sz w:val="20"/>
                <w:szCs w:val="20"/>
                <w:u w:val="none"/>
                <w:lang w:val="fr-FR"/>
              </w:rPr>
            </w:pPr>
            <w:r w:rsidRPr="00EE01B4">
              <w:rPr>
                <w:rStyle w:val="Hyperlink"/>
                <w:color w:val="auto"/>
                <w:sz w:val="20"/>
                <w:szCs w:val="20"/>
                <w:u w:val="none"/>
                <w:lang w:val="fr-FR"/>
              </w:rPr>
              <w:t xml:space="preserve">UICN, PNUE </w:t>
            </w:r>
            <w:r w:rsidRPr="00EE01B4">
              <w:rPr>
                <w:rStyle w:val="Hyperlink"/>
                <w:color w:val="auto"/>
                <w:sz w:val="20"/>
                <w:szCs w:val="20"/>
                <w:u w:val="none"/>
                <w:lang w:val="fr-FR"/>
              </w:rPr>
              <w:softHyphen/>
              <w:t>– DHI, TNC</w:t>
            </w:r>
          </w:p>
        </w:tc>
      </w:tr>
      <w:tr w:rsidR="0025591A" w:rsidRPr="00DF180B" w:rsidTr="004D1A4F">
        <w:tblPrEx>
          <w:tblBorders>
            <w:bottom w:val="single" w:sz="4" w:space="0" w:color="auto"/>
            <w:insideH w:val="single" w:sz="4" w:space="0" w:color="auto"/>
            <w:insideV w:val="single" w:sz="4" w:space="0" w:color="auto"/>
          </w:tblBorders>
        </w:tblPrEx>
        <w:tc>
          <w:tcPr>
            <w:tcW w:w="3053" w:type="dxa"/>
          </w:tcPr>
          <w:p w:rsidR="0025591A" w:rsidRPr="00EE01B4" w:rsidRDefault="00DF180B" w:rsidP="00B5352E">
            <w:pPr>
              <w:spacing w:after="40"/>
              <w:rPr>
                <w:sz w:val="20"/>
                <w:szCs w:val="20"/>
                <w:lang w:val="fr-FR"/>
              </w:rPr>
            </w:pPr>
            <w:hyperlink r:id="rId154" w:history="1">
              <w:r w:rsidR="0025591A" w:rsidRPr="00EE01B4">
                <w:rPr>
                  <w:rStyle w:val="Hyperlink"/>
                  <w:sz w:val="20"/>
                  <w:szCs w:val="20"/>
                  <w:lang w:val="fr-FR"/>
                </w:rPr>
                <w:t>Dialogue régional sur les grandes infrastructures hydrauliques en Afrique de l'Ouest : la concertation en actes de 2009 à 2011</w:t>
              </w:r>
            </w:hyperlink>
          </w:p>
        </w:tc>
        <w:tc>
          <w:tcPr>
            <w:tcW w:w="2168" w:type="dxa"/>
          </w:tcPr>
          <w:p w:rsidR="0025591A" w:rsidRPr="00EE01B4" w:rsidRDefault="0025591A" w:rsidP="00B5352E">
            <w:pPr>
              <w:rPr>
                <w:rFonts w:cs="Arial"/>
                <w:sz w:val="20"/>
                <w:szCs w:val="20"/>
                <w:lang w:val="fr-FR"/>
              </w:rPr>
            </w:pPr>
          </w:p>
        </w:tc>
        <w:tc>
          <w:tcPr>
            <w:tcW w:w="2582" w:type="dxa"/>
          </w:tcPr>
          <w:p w:rsidR="0025591A" w:rsidRPr="00EE01B4" w:rsidRDefault="0025591A" w:rsidP="00B5352E">
            <w:pPr>
              <w:rPr>
                <w:rFonts w:cs="Arial"/>
                <w:sz w:val="20"/>
                <w:szCs w:val="20"/>
                <w:lang w:val="fr-FR"/>
              </w:rPr>
            </w:pPr>
          </w:p>
        </w:tc>
        <w:tc>
          <w:tcPr>
            <w:tcW w:w="1259" w:type="dxa"/>
          </w:tcPr>
          <w:p w:rsidR="0025591A" w:rsidRPr="00EE01B4" w:rsidRDefault="0025591A" w:rsidP="00B5352E">
            <w:pPr>
              <w:rPr>
                <w:rFonts w:cs="Arial"/>
                <w:sz w:val="20"/>
                <w:szCs w:val="20"/>
                <w:lang w:val="fr-FR"/>
              </w:rPr>
            </w:pPr>
          </w:p>
        </w:tc>
        <w:tc>
          <w:tcPr>
            <w:tcW w:w="1259" w:type="dxa"/>
          </w:tcPr>
          <w:p w:rsidR="0025591A" w:rsidRPr="00EE01B4" w:rsidRDefault="0025591A" w:rsidP="00B5352E">
            <w:pPr>
              <w:spacing w:after="40"/>
              <w:rPr>
                <w:sz w:val="20"/>
                <w:szCs w:val="20"/>
                <w:lang w:val="fr-FR"/>
              </w:rPr>
            </w:pPr>
            <w:r w:rsidRPr="00EE01B4">
              <w:rPr>
                <w:sz w:val="20"/>
                <w:szCs w:val="20"/>
                <w:lang w:val="fr-FR"/>
              </w:rPr>
              <w:t>EF</w:t>
            </w:r>
          </w:p>
        </w:tc>
        <w:tc>
          <w:tcPr>
            <w:tcW w:w="5293" w:type="dxa"/>
          </w:tcPr>
          <w:p w:rsidR="0025591A" w:rsidRPr="00EE01B4" w:rsidRDefault="0025591A" w:rsidP="00B5352E">
            <w:pPr>
              <w:rPr>
                <w:rStyle w:val="Hyperlink"/>
                <w:color w:val="auto"/>
                <w:sz w:val="20"/>
                <w:szCs w:val="20"/>
                <w:u w:val="none"/>
                <w:lang w:val="es-ES"/>
              </w:rPr>
            </w:pPr>
            <w:r w:rsidRPr="00EE01B4">
              <w:rPr>
                <w:sz w:val="20"/>
                <w:szCs w:val="20"/>
                <w:lang w:val="es-ES"/>
              </w:rPr>
              <w:t>UICN, ECOWAS, UEMOA, GWP, WWF, Sida, INBO</w:t>
            </w:r>
          </w:p>
        </w:tc>
      </w:tr>
      <w:tr w:rsidR="0025591A" w:rsidRPr="00EE01B4" w:rsidTr="004D1A4F">
        <w:tblPrEx>
          <w:tblBorders>
            <w:bottom w:val="single" w:sz="4" w:space="0" w:color="auto"/>
            <w:insideH w:val="single" w:sz="4" w:space="0" w:color="auto"/>
            <w:insideV w:val="single" w:sz="4" w:space="0" w:color="auto"/>
          </w:tblBorders>
        </w:tblPrEx>
        <w:tc>
          <w:tcPr>
            <w:tcW w:w="3053" w:type="dxa"/>
          </w:tcPr>
          <w:p w:rsidR="0025591A" w:rsidRPr="00EE01B4" w:rsidRDefault="00DF180B" w:rsidP="00B5352E">
            <w:pPr>
              <w:spacing w:after="40"/>
              <w:rPr>
                <w:sz w:val="20"/>
                <w:szCs w:val="20"/>
                <w:lang w:val="en-GB"/>
              </w:rPr>
            </w:pPr>
            <w:hyperlink r:id="rId155" w:history="1">
              <w:r w:rsidR="0025591A" w:rsidRPr="00EE01B4">
                <w:rPr>
                  <w:rStyle w:val="Hyperlink"/>
                  <w:sz w:val="20"/>
                  <w:szCs w:val="20"/>
                  <w:lang w:val="en-GB"/>
                </w:rPr>
                <w:t>Counting coastal ecosystems as an economic part of development infrastructure</w:t>
              </w:r>
            </w:hyperlink>
          </w:p>
        </w:tc>
        <w:tc>
          <w:tcPr>
            <w:tcW w:w="2168" w:type="dxa"/>
          </w:tcPr>
          <w:p w:rsidR="0025591A" w:rsidRPr="00EE01B4" w:rsidRDefault="0025591A" w:rsidP="00B5352E">
            <w:pPr>
              <w:rPr>
                <w:rFonts w:cs="Arial"/>
                <w:sz w:val="20"/>
                <w:szCs w:val="20"/>
                <w:lang w:val="en-GB"/>
              </w:rPr>
            </w:pPr>
          </w:p>
        </w:tc>
        <w:tc>
          <w:tcPr>
            <w:tcW w:w="2582" w:type="dxa"/>
          </w:tcPr>
          <w:p w:rsidR="0025591A" w:rsidRPr="00EE01B4" w:rsidRDefault="0025591A" w:rsidP="00B5352E">
            <w:pPr>
              <w:rPr>
                <w:rFonts w:cs="Arial"/>
                <w:sz w:val="20"/>
                <w:szCs w:val="20"/>
                <w:lang w:val="en-GB"/>
              </w:rPr>
            </w:pPr>
          </w:p>
        </w:tc>
        <w:tc>
          <w:tcPr>
            <w:tcW w:w="1259" w:type="dxa"/>
          </w:tcPr>
          <w:p w:rsidR="0025591A" w:rsidRPr="00EE01B4" w:rsidRDefault="0025591A" w:rsidP="00B5352E">
            <w:pPr>
              <w:rPr>
                <w:rFonts w:cs="Arial"/>
                <w:sz w:val="20"/>
                <w:szCs w:val="20"/>
                <w:lang w:val="en-GB"/>
              </w:rPr>
            </w:pPr>
          </w:p>
        </w:tc>
        <w:tc>
          <w:tcPr>
            <w:tcW w:w="1259" w:type="dxa"/>
          </w:tcPr>
          <w:p w:rsidR="0025591A" w:rsidRPr="00EE01B4" w:rsidRDefault="0025591A" w:rsidP="00B5352E">
            <w:pPr>
              <w:spacing w:after="40"/>
              <w:rPr>
                <w:sz w:val="20"/>
                <w:szCs w:val="20"/>
                <w:lang w:val="fr-FR"/>
              </w:rPr>
            </w:pPr>
            <w:r w:rsidRPr="00EE01B4">
              <w:rPr>
                <w:sz w:val="20"/>
                <w:szCs w:val="20"/>
                <w:lang w:val="fr-FR"/>
              </w:rPr>
              <w:t>E</w:t>
            </w:r>
          </w:p>
        </w:tc>
        <w:tc>
          <w:tcPr>
            <w:tcW w:w="5293" w:type="dxa"/>
          </w:tcPr>
          <w:p w:rsidR="0025591A" w:rsidRPr="00EE01B4" w:rsidRDefault="0025591A" w:rsidP="00B5352E">
            <w:pPr>
              <w:rPr>
                <w:rStyle w:val="Hyperlink"/>
                <w:color w:val="auto"/>
                <w:sz w:val="20"/>
                <w:szCs w:val="20"/>
                <w:u w:val="none"/>
                <w:lang w:val="fr-FR"/>
              </w:rPr>
            </w:pPr>
            <w:r w:rsidRPr="00EE01B4">
              <w:rPr>
                <w:rStyle w:val="Hyperlink"/>
                <w:color w:val="auto"/>
                <w:sz w:val="20"/>
                <w:szCs w:val="20"/>
                <w:u w:val="none"/>
                <w:lang w:val="fr-FR"/>
              </w:rPr>
              <w:t>UICN</w:t>
            </w:r>
          </w:p>
        </w:tc>
      </w:tr>
      <w:tr w:rsidR="0025591A" w:rsidRPr="00EE01B4" w:rsidTr="004D1A4F">
        <w:tblPrEx>
          <w:tblBorders>
            <w:bottom w:val="single" w:sz="4" w:space="0" w:color="auto"/>
            <w:insideH w:val="single" w:sz="4" w:space="0" w:color="auto"/>
            <w:insideV w:val="single" w:sz="4" w:space="0" w:color="auto"/>
          </w:tblBorders>
        </w:tblPrEx>
        <w:tc>
          <w:tcPr>
            <w:tcW w:w="3053" w:type="dxa"/>
          </w:tcPr>
          <w:p w:rsidR="0025591A" w:rsidRPr="00EE01B4" w:rsidRDefault="00DF180B" w:rsidP="00B5352E">
            <w:pPr>
              <w:spacing w:after="40"/>
              <w:rPr>
                <w:sz w:val="20"/>
                <w:szCs w:val="20"/>
                <w:lang w:val="en-GB"/>
              </w:rPr>
            </w:pPr>
            <w:hyperlink r:id="rId156" w:history="1">
              <w:r w:rsidR="0025591A" w:rsidRPr="00EE01B4">
                <w:rPr>
                  <w:rStyle w:val="Hyperlink"/>
                  <w:sz w:val="20"/>
                  <w:szCs w:val="20"/>
                  <w:lang w:val="en-GB"/>
                </w:rPr>
                <w:t>Biodiversity management system : proposal for the integrated management of biodiversity at Holcim sites</w:t>
              </w:r>
            </w:hyperlink>
          </w:p>
        </w:tc>
        <w:tc>
          <w:tcPr>
            <w:tcW w:w="2168" w:type="dxa"/>
          </w:tcPr>
          <w:p w:rsidR="0025591A" w:rsidRPr="00EE01B4" w:rsidRDefault="0025591A" w:rsidP="00B5352E">
            <w:pPr>
              <w:rPr>
                <w:rFonts w:cs="Arial"/>
                <w:sz w:val="20"/>
                <w:szCs w:val="20"/>
                <w:lang w:val="en-GB"/>
              </w:rPr>
            </w:pPr>
          </w:p>
        </w:tc>
        <w:tc>
          <w:tcPr>
            <w:tcW w:w="2582" w:type="dxa"/>
          </w:tcPr>
          <w:p w:rsidR="0025591A" w:rsidRPr="00EE01B4" w:rsidRDefault="0025591A" w:rsidP="00B5352E">
            <w:pPr>
              <w:rPr>
                <w:rFonts w:cs="Arial"/>
                <w:sz w:val="20"/>
                <w:szCs w:val="20"/>
                <w:lang w:val="en-GB"/>
              </w:rPr>
            </w:pPr>
          </w:p>
        </w:tc>
        <w:tc>
          <w:tcPr>
            <w:tcW w:w="1259" w:type="dxa"/>
          </w:tcPr>
          <w:p w:rsidR="0025591A" w:rsidRPr="00EE01B4" w:rsidRDefault="0025591A" w:rsidP="00B5352E">
            <w:pPr>
              <w:rPr>
                <w:rFonts w:cs="Arial"/>
                <w:sz w:val="20"/>
                <w:szCs w:val="20"/>
                <w:lang w:val="en-GB"/>
              </w:rPr>
            </w:pPr>
          </w:p>
        </w:tc>
        <w:tc>
          <w:tcPr>
            <w:tcW w:w="1259" w:type="dxa"/>
          </w:tcPr>
          <w:p w:rsidR="0025591A" w:rsidRPr="00EE01B4" w:rsidRDefault="0025591A" w:rsidP="00B5352E">
            <w:pPr>
              <w:spacing w:after="40"/>
              <w:rPr>
                <w:sz w:val="20"/>
                <w:szCs w:val="20"/>
                <w:lang w:val="fr-FR"/>
              </w:rPr>
            </w:pPr>
            <w:r w:rsidRPr="00EE01B4">
              <w:rPr>
                <w:sz w:val="20"/>
                <w:szCs w:val="20"/>
                <w:lang w:val="fr-FR"/>
              </w:rPr>
              <w:t>E</w:t>
            </w:r>
          </w:p>
        </w:tc>
        <w:tc>
          <w:tcPr>
            <w:tcW w:w="5293" w:type="dxa"/>
          </w:tcPr>
          <w:p w:rsidR="0025591A" w:rsidRPr="00EE01B4" w:rsidRDefault="0025591A" w:rsidP="00B5352E">
            <w:pPr>
              <w:rPr>
                <w:rStyle w:val="Hyperlink"/>
                <w:color w:val="auto"/>
                <w:sz w:val="20"/>
                <w:szCs w:val="20"/>
                <w:u w:val="none"/>
                <w:lang w:val="fr-FR"/>
              </w:rPr>
            </w:pPr>
            <w:r w:rsidRPr="00EE01B4">
              <w:rPr>
                <w:rStyle w:val="Hyperlink"/>
                <w:color w:val="auto"/>
                <w:sz w:val="20"/>
                <w:szCs w:val="20"/>
                <w:u w:val="none"/>
                <w:lang w:val="fr-FR"/>
              </w:rPr>
              <w:t xml:space="preserve">UICN, </w:t>
            </w:r>
            <w:proofErr w:type="spellStart"/>
            <w:r w:rsidRPr="00EE01B4">
              <w:rPr>
                <w:rStyle w:val="Hyperlink"/>
                <w:color w:val="auto"/>
                <w:sz w:val="20"/>
                <w:szCs w:val="20"/>
                <w:u w:val="none"/>
                <w:lang w:val="fr-FR"/>
              </w:rPr>
              <w:t>Holcim</w:t>
            </w:r>
            <w:proofErr w:type="spellEnd"/>
          </w:p>
        </w:tc>
      </w:tr>
      <w:tr w:rsidR="0025591A" w:rsidRPr="00EE01B4" w:rsidTr="004D1A4F">
        <w:tblPrEx>
          <w:tblBorders>
            <w:bottom w:val="single" w:sz="4" w:space="0" w:color="auto"/>
            <w:insideH w:val="single" w:sz="4" w:space="0" w:color="auto"/>
            <w:insideV w:val="single" w:sz="4" w:space="0" w:color="auto"/>
          </w:tblBorders>
        </w:tblPrEx>
        <w:tc>
          <w:tcPr>
            <w:tcW w:w="3053" w:type="dxa"/>
          </w:tcPr>
          <w:p w:rsidR="0025591A" w:rsidRPr="00EE01B4" w:rsidRDefault="00DF180B" w:rsidP="00B5352E">
            <w:pPr>
              <w:spacing w:after="40"/>
              <w:rPr>
                <w:sz w:val="20"/>
                <w:szCs w:val="20"/>
                <w:lang w:val="en-GB"/>
              </w:rPr>
            </w:pPr>
            <w:hyperlink r:id="rId157" w:history="1">
              <w:r w:rsidR="0025591A" w:rsidRPr="00EE01B4">
                <w:rPr>
                  <w:rStyle w:val="Hyperlink"/>
                  <w:sz w:val="20"/>
                  <w:szCs w:val="20"/>
                  <w:lang w:val="en-GB"/>
                </w:rPr>
                <w:t>Good practice guidance for mining and biodiversity</w:t>
              </w:r>
            </w:hyperlink>
          </w:p>
        </w:tc>
        <w:tc>
          <w:tcPr>
            <w:tcW w:w="2168" w:type="dxa"/>
          </w:tcPr>
          <w:p w:rsidR="0025591A" w:rsidRPr="00EE01B4" w:rsidRDefault="0025591A" w:rsidP="00B5352E">
            <w:pPr>
              <w:rPr>
                <w:rFonts w:cs="Arial"/>
                <w:sz w:val="20"/>
                <w:szCs w:val="20"/>
                <w:lang w:val="en-GB"/>
              </w:rPr>
            </w:pPr>
          </w:p>
        </w:tc>
        <w:tc>
          <w:tcPr>
            <w:tcW w:w="2582" w:type="dxa"/>
          </w:tcPr>
          <w:p w:rsidR="0025591A" w:rsidRPr="00EE01B4" w:rsidRDefault="0025591A" w:rsidP="00B5352E">
            <w:pPr>
              <w:rPr>
                <w:rFonts w:cs="Arial"/>
                <w:sz w:val="20"/>
                <w:szCs w:val="20"/>
                <w:lang w:val="en-GB"/>
              </w:rPr>
            </w:pPr>
          </w:p>
        </w:tc>
        <w:tc>
          <w:tcPr>
            <w:tcW w:w="1259" w:type="dxa"/>
          </w:tcPr>
          <w:p w:rsidR="0025591A" w:rsidRPr="00EE01B4" w:rsidRDefault="0025591A" w:rsidP="00B5352E">
            <w:pPr>
              <w:rPr>
                <w:rFonts w:cs="Arial"/>
                <w:sz w:val="20"/>
                <w:szCs w:val="20"/>
                <w:lang w:val="en-GB"/>
              </w:rPr>
            </w:pPr>
          </w:p>
        </w:tc>
        <w:tc>
          <w:tcPr>
            <w:tcW w:w="1259" w:type="dxa"/>
          </w:tcPr>
          <w:p w:rsidR="0025591A" w:rsidRPr="00EE01B4" w:rsidRDefault="0025591A" w:rsidP="00B5352E">
            <w:pPr>
              <w:spacing w:after="40"/>
              <w:rPr>
                <w:sz w:val="20"/>
                <w:szCs w:val="20"/>
                <w:lang w:val="fr-FR"/>
              </w:rPr>
            </w:pPr>
            <w:r w:rsidRPr="00EE01B4">
              <w:rPr>
                <w:sz w:val="20"/>
                <w:szCs w:val="20"/>
                <w:lang w:val="fr-FR"/>
              </w:rPr>
              <w:t>E</w:t>
            </w:r>
          </w:p>
        </w:tc>
        <w:tc>
          <w:tcPr>
            <w:tcW w:w="5293" w:type="dxa"/>
          </w:tcPr>
          <w:p w:rsidR="0025591A" w:rsidRPr="00EE01B4" w:rsidRDefault="0025591A" w:rsidP="00B5352E">
            <w:pPr>
              <w:rPr>
                <w:rStyle w:val="Hyperlink"/>
                <w:color w:val="auto"/>
                <w:sz w:val="20"/>
                <w:szCs w:val="20"/>
                <w:u w:val="none"/>
                <w:lang w:val="fr-FR"/>
              </w:rPr>
            </w:pPr>
            <w:r w:rsidRPr="00EE01B4">
              <w:rPr>
                <w:rStyle w:val="Hyperlink"/>
                <w:color w:val="auto"/>
                <w:sz w:val="20"/>
                <w:szCs w:val="20"/>
                <w:u w:val="none"/>
                <w:lang w:val="fr-FR"/>
              </w:rPr>
              <w:t>UICN, ICMM</w:t>
            </w:r>
          </w:p>
        </w:tc>
      </w:tr>
      <w:tr w:rsidR="0025591A" w:rsidRPr="00EE01B4" w:rsidTr="004D1A4F">
        <w:tblPrEx>
          <w:tblBorders>
            <w:bottom w:val="single" w:sz="4" w:space="0" w:color="auto"/>
            <w:insideH w:val="single" w:sz="4" w:space="0" w:color="auto"/>
            <w:insideV w:val="single" w:sz="4" w:space="0" w:color="auto"/>
          </w:tblBorders>
        </w:tblPrEx>
        <w:tc>
          <w:tcPr>
            <w:tcW w:w="3053" w:type="dxa"/>
          </w:tcPr>
          <w:p w:rsidR="0025591A" w:rsidRPr="00EE01B4" w:rsidRDefault="00DF180B" w:rsidP="00B5352E">
            <w:pPr>
              <w:spacing w:after="40"/>
              <w:rPr>
                <w:color w:val="0000FF" w:themeColor="hyperlink"/>
                <w:sz w:val="20"/>
                <w:szCs w:val="20"/>
                <w:u w:val="single"/>
                <w:lang w:val="fr-FR"/>
              </w:rPr>
            </w:pPr>
            <w:hyperlink r:id="rId158" w:history="1">
              <w:r w:rsidR="0025591A" w:rsidRPr="00EE01B4">
                <w:rPr>
                  <w:rStyle w:val="Hyperlink"/>
                  <w:sz w:val="20"/>
                  <w:szCs w:val="20"/>
                  <w:lang w:val="fr-FR"/>
                </w:rPr>
                <w:t>Débit : les débits environnementaux, ce qu'il faut savoir</w:t>
              </w:r>
            </w:hyperlink>
            <w:r w:rsidR="0025591A" w:rsidRPr="00EE01B4">
              <w:rPr>
                <w:sz w:val="20"/>
                <w:szCs w:val="20"/>
                <w:lang w:val="fr-FR"/>
              </w:rPr>
              <w:t xml:space="preserve"> </w:t>
            </w:r>
          </w:p>
        </w:tc>
        <w:tc>
          <w:tcPr>
            <w:tcW w:w="2168" w:type="dxa"/>
          </w:tcPr>
          <w:p w:rsidR="0025591A" w:rsidRPr="00EE01B4" w:rsidRDefault="0025591A" w:rsidP="00B5352E">
            <w:pPr>
              <w:rPr>
                <w:rFonts w:cs="Arial"/>
                <w:sz w:val="20"/>
                <w:szCs w:val="20"/>
                <w:lang w:val="fr-FR"/>
              </w:rPr>
            </w:pPr>
          </w:p>
        </w:tc>
        <w:tc>
          <w:tcPr>
            <w:tcW w:w="2582" w:type="dxa"/>
          </w:tcPr>
          <w:p w:rsidR="0025591A" w:rsidRPr="00EE01B4" w:rsidRDefault="0025591A" w:rsidP="00B5352E">
            <w:pPr>
              <w:rPr>
                <w:rFonts w:cs="Arial"/>
                <w:sz w:val="20"/>
                <w:szCs w:val="20"/>
                <w:lang w:val="fr-FR"/>
              </w:rPr>
            </w:pPr>
          </w:p>
        </w:tc>
        <w:tc>
          <w:tcPr>
            <w:tcW w:w="1259" w:type="dxa"/>
          </w:tcPr>
          <w:p w:rsidR="0025591A" w:rsidRPr="00EE01B4" w:rsidRDefault="0025591A" w:rsidP="00B5352E">
            <w:pPr>
              <w:rPr>
                <w:rFonts w:cs="Arial"/>
                <w:sz w:val="20"/>
                <w:szCs w:val="20"/>
                <w:lang w:val="fr-FR"/>
              </w:rPr>
            </w:pPr>
          </w:p>
        </w:tc>
        <w:tc>
          <w:tcPr>
            <w:tcW w:w="1259" w:type="dxa"/>
          </w:tcPr>
          <w:p w:rsidR="0025591A" w:rsidRPr="00EE01B4" w:rsidRDefault="0025591A" w:rsidP="00CC4F6A">
            <w:pPr>
              <w:spacing w:after="40"/>
              <w:rPr>
                <w:sz w:val="20"/>
                <w:szCs w:val="20"/>
                <w:lang w:val="fr-FR"/>
              </w:rPr>
            </w:pPr>
            <w:r w:rsidRPr="00EE01B4">
              <w:rPr>
                <w:rStyle w:val="Hyperlink"/>
                <w:color w:val="auto"/>
                <w:sz w:val="20"/>
                <w:szCs w:val="20"/>
                <w:u w:val="none"/>
                <w:lang w:val="fr-FR"/>
              </w:rPr>
              <w:t xml:space="preserve">EFSC (et autres) </w:t>
            </w:r>
            <w:r w:rsidRPr="00EE01B4">
              <w:rPr>
                <w:rStyle w:val="Hyperlink"/>
                <w:sz w:val="20"/>
                <w:szCs w:val="20"/>
                <w:u w:val="none"/>
                <w:lang w:val="fr-FR"/>
              </w:rPr>
              <w:t xml:space="preserve"> </w:t>
            </w:r>
          </w:p>
        </w:tc>
        <w:tc>
          <w:tcPr>
            <w:tcW w:w="5293" w:type="dxa"/>
          </w:tcPr>
          <w:p w:rsidR="0025591A" w:rsidRPr="00EE01B4" w:rsidRDefault="0025591A" w:rsidP="00B5352E">
            <w:pPr>
              <w:rPr>
                <w:rStyle w:val="Hyperlink"/>
                <w:color w:val="auto"/>
                <w:sz w:val="20"/>
                <w:szCs w:val="20"/>
                <w:u w:val="none"/>
                <w:lang w:val="fr-FR"/>
              </w:rPr>
            </w:pPr>
            <w:r w:rsidRPr="00EE01B4">
              <w:rPr>
                <w:rStyle w:val="Hyperlink"/>
                <w:color w:val="auto"/>
                <w:sz w:val="20"/>
                <w:szCs w:val="20"/>
                <w:u w:val="none"/>
                <w:lang w:val="fr-FR"/>
              </w:rPr>
              <w:t>UICN</w:t>
            </w:r>
          </w:p>
          <w:p w:rsidR="0025591A" w:rsidRPr="00EE01B4" w:rsidRDefault="0025591A" w:rsidP="00B5352E">
            <w:pPr>
              <w:rPr>
                <w:rFonts w:cs="Arial"/>
                <w:sz w:val="20"/>
                <w:szCs w:val="20"/>
                <w:lang w:val="fr-FR"/>
              </w:rPr>
            </w:pPr>
            <w:r w:rsidRPr="00EE01B4">
              <w:rPr>
                <w:rFonts w:cs="Arial"/>
                <w:sz w:val="20"/>
                <w:szCs w:val="20"/>
                <w:u w:val="single"/>
                <w:lang w:val="fr-FR"/>
              </w:rPr>
              <w:t>Résumé</w:t>
            </w:r>
            <w:r w:rsidRPr="00EE01B4">
              <w:rPr>
                <w:rFonts w:cs="Arial"/>
                <w:sz w:val="20"/>
                <w:szCs w:val="20"/>
                <w:lang w:val="fr-FR"/>
              </w:rPr>
              <w:t xml:space="preserve"> : Ce guide, le deuxième dans la série de l’Initiative pour l’eau et la nature, s’inspire de manière approfondie de l’expérience de ces pays [Afrique du Sud, Australie et États Unis d’Amérique] pour proposer un avis pratique pour cette question émergente sur l’agenda des ressources en eau. Il va bien </w:t>
            </w:r>
            <w:proofErr w:type="spellStart"/>
            <w:r w:rsidRPr="00EE01B4">
              <w:rPr>
                <w:rFonts w:cs="Arial"/>
                <w:sz w:val="20"/>
                <w:szCs w:val="20"/>
                <w:lang w:val="fr-FR"/>
              </w:rPr>
              <w:t>au delà</w:t>
            </w:r>
            <w:proofErr w:type="spellEnd"/>
            <w:r w:rsidRPr="00EE01B4">
              <w:rPr>
                <w:rFonts w:cs="Arial"/>
                <w:sz w:val="20"/>
                <w:szCs w:val="20"/>
                <w:lang w:val="fr-FR"/>
              </w:rPr>
              <w:t xml:space="preserve"> de la littérature actuelle pour offrir des orientations pratiques sur des questions techniques telles que les méthodes d’évaluation et l’adaptation infrastructurelle ainsi que les dimensions économiques, juridiques et politiques de l’établissement de flux environnementaux.</w:t>
            </w:r>
          </w:p>
        </w:tc>
      </w:tr>
      <w:tr w:rsidR="0025591A" w:rsidRPr="00EE01B4" w:rsidTr="004D1A4F">
        <w:tblPrEx>
          <w:tblBorders>
            <w:bottom w:val="single" w:sz="4" w:space="0" w:color="auto"/>
            <w:insideH w:val="single" w:sz="4" w:space="0" w:color="auto"/>
            <w:insideV w:val="single" w:sz="4" w:space="0" w:color="auto"/>
          </w:tblBorders>
        </w:tblPrEx>
        <w:tc>
          <w:tcPr>
            <w:tcW w:w="3053" w:type="dxa"/>
          </w:tcPr>
          <w:p w:rsidR="0025591A" w:rsidRPr="00EE01B4" w:rsidRDefault="00DF180B" w:rsidP="00B5352E">
            <w:pPr>
              <w:spacing w:after="40"/>
              <w:rPr>
                <w:color w:val="0000FF" w:themeColor="hyperlink"/>
                <w:sz w:val="20"/>
                <w:szCs w:val="20"/>
                <w:u w:val="single"/>
                <w:lang w:val="fr-FR"/>
              </w:rPr>
            </w:pPr>
            <w:hyperlink r:id="rId159" w:history="1">
              <w:proofErr w:type="spellStart"/>
              <w:r w:rsidR="0025591A" w:rsidRPr="00EE01B4">
                <w:rPr>
                  <w:rStyle w:val="Hyperlink"/>
                  <w:sz w:val="20"/>
                  <w:szCs w:val="20"/>
                  <w:lang w:val="fr-FR"/>
                </w:rPr>
                <w:t>Wetlands</w:t>
              </w:r>
              <w:proofErr w:type="spellEnd"/>
              <w:r w:rsidR="0025591A" w:rsidRPr="00EE01B4">
                <w:rPr>
                  <w:rStyle w:val="Hyperlink"/>
                  <w:sz w:val="20"/>
                  <w:szCs w:val="20"/>
                  <w:lang w:val="fr-FR"/>
                </w:rPr>
                <w:t xml:space="preserve"> and people</w:t>
              </w:r>
            </w:hyperlink>
          </w:p>
        </w:tc>
        <w:tc>
          <w:tcPr>
            <w:tcW w:w="2168" w:type="dxa"/>
          </w:tcPr>
          <w:p w:rsidR="0025591A" w:rsidRPr="00EE01B4" w:rsidRDefault="0025591A" w:rsidP="00B5352E">
            <w:pPr>
              <w:rPr>
                <w:rFonts w:cs="Arial"/>
                <w:sz w:val="20"/>
                <w:szCs w:val="20"/>
                <w:lang w:val="fr-FR"/>
              </w:rPr>
            </w:pPr>
          </w:p>
        </w:tc>
        <w:tc>
          <w:tcPr>
            <w:tcW w:w="2582" w:type="dxa"/>
          </w:tcPr>
          <w:p w:rsidR="0025591A" w:rsidRPr="00EE01B4" w:rsidRDefault="0025591A" w:rsidP="00B5352E">
            <w:pPr>
              <w:rPr>
                <w:rFonts w:cs="Arial"/>
                <w:sz w:val="20"/>
                <w:szCs w:val="20"/>
                <w:lang w:val="fr-FR"/>
              </w:rPr>
            </w:pPr>
          </w:p>
        </w:tc>
        <w:tc>
          <w:tcPr>
            <w:tcW w:w="1259" w:type="dxa"/>
          </w:tcPr>
          <w:p w:rsidR="0025591A" w:rsidRPr="00EE01B4" w:rsidRDefault="0025591A" w:rsidP="00B5352E">
            <w:pPr>
              <w:rPr>
                <w:rFonts w:cs="Arial"/>
                <w:sz w:val="20"/>
                <w:szCs w:val="20"/>
                <w:lang w:val="fr-FR"/>
              </w:rPr>
            </w:pPr>
          </w:p>
        </w:tc>
        <w:tc>
          <w:tcPr>
            <w:tcW w:w="1259" w:type="dxa"/>
          </w:tcPr>
          <w:p w:rsidR="0025591A" w:rsidRPr="00EE01B4" w:rsidRDefault="0025591A" w:rsidP="00B5352E">
            <w:pPr>
              <w:spacing w:after="40"/>
              <w:rPr>
                <w:sz w:val="20"/>
                <w:szCs w:val="20"/>
                <w:lang w:val="fr-FR"/>
              </w:rPr>
            </w:pPr>
            <w:r w:rsidRPr="00EE01B4">
              <w:rPr>
                <w:sz w:val="20"/>
                <w:szCs w:val="20"/>
                <w:lang w:val="fr-FR"/>
              </w:rPr>
              <w:t>E</w:t>
            </w:r>
          </w:p>
        </w:tc>
        <w:tc>
          <w:tcPr>
            <w:tcW w:w="5293" w:type="dxa"/>
          </w:tcPr>
          <w:p w:rsidR="0025591A" w:rsidRPr="00EE01B4" w:rsidRDefault="0025591A" w:rsidP="00B5352E">
            <w:pPr>
              <w:rPr>
                <w:sz w:val="20"/>
                <w:szCs w:val="20"/>
                <w:lang w:val="fr-FR"/>
              </w:rPr>
            </w:pPr>
            <w:r w:rsidRPr="00EE01B4">
              <w:rPr>
                <w:sz w:val="20"/>
                <w:szCs w:val="20"/>
                <w:lang w:val="fr-FR"/>
              </w:rPr>
              <w:t>IWMI</w:t>
            </w:r>
          </w:p>
          <w:p w:rsidR="0025591A" w:rsidRPr="00EE01B4" w:rsidRDefault="0025591A" w:rsidP="00394BCB">
            <w:pPr>
              <w:rPr>
                <w:rFonts w:cs="Arial"/>
                <w:sz w:val="20"/>
                <w:szCs w:val="20"/>
                <w:lang w:val="fr-FR"/>
              </w:rPr>
            </w:pPr>
            <w:r w:rsidRPr="00EE01B4">
              <w:rPr>
                <w:rFonts w:cs="Arial"/>
                <w:sz w:val="20"/>
                <w:szCs w:val="20"/>
                <w:u w:val="single"/>
                <w:lang w:val="fr-FR"/>
              </w:rPr>
              <w:t>Résumé</w:t>
            </w:r>
            <w:r w:rsidRPr="00EE01B4">
              <w:rPr>
                <w:rFonts w:cs="Arial"/>
                <w:sz w:val="20"/>
                <w:szCs w:val="20"/>
                <w:lang w:val="fr-FR"/>
              </w:rPr>
              <w:t xml:space="preserve"> : Ce rapport discute, entre autres, des menaces pour les zones humides, de l’agriculture des zones humides et de l’équilibre entre la conservation des zones humides et le développement. Les études de cas de ce rapport soulignent les nombreux moyens par lesquels les zones humides entretiennent et améliorent la vie des populations pauvres en Afrique, en Asie et en Amérique latine. </w:t>
            </w:r>
          </w:p>
        </w:tc>
      </w:tr>
      <w:tr w:rsidR="0025591A" w:rsidRPr="00EE01B4" w:rsidTr="004D1A4F">
        <w:tblPrEx>
          <w:tblBorders>
            <w:bottom w:val="single" w:sz="4" w:space="0" w:color="auto"/>
            <w:insideH w:val="single" w:sz="4" w:space="0" w:color="auto"/>
            <w:insideV w:val="single" w:sz="4" w:space="0" w:color="auto"/>
          </w:tblBorders>
        </w:tblPrEx>
        <w:tc>
          <w:tcPr>
            <w:tcW w:w="3053" w:type="dxa"/>
          </w:tcPr>
          <w:p w:rsidR="0025591A" w:rsidRPr="00EE01B4" w:rsidRDefault="00DF180B" w:rsidP="00B5352E">
            <w:pPr>
              <w:spacing w:after="40"/>
              <w:rPr>
                <w:color w:val="0000FF" w:themeColor="hyperlink"/>
                <w:sz w:val="20"/>
                <w:szCs w:val="20"/>
                <w:u w:val="single"/>
                <w:lang w:val="en-GB"/>
              </w:rPr>
            </w:pPr>
            <w:hyperlink r:id="rId160" w:history="1">
              <w:r w:rsidR="0025591A" w:rsidRPr="00EE01B4">
                <w:rPr>
                  <w:rStyle w:val="Hyperlink"/>
                  <w:sz w:val="20"/>
                  <w:szCs w:val="20"/>
                  <w:lang w:val="en-GB"/>
                </w:rPr>
                <w:t>Wetlands, Agriculture and Poverty Reduction</w:t>
              </w:r>
            </w:hyperlink>
          </w:p>
        </w:tc>
        <w:tc>
          <w:tcPr>
            <w:tcW w:w="2168" w:type="dxa"/>
          </w:tcPr>
          <w:p w:rsidR="0025591A" w:rsidRPr="00EE01B4" w:rsidRDefault="0025591A" w:rsidP="00B5352E">
            <w:pPr>
              <w:rPr>
                <w:rFonts w:cs="Arial"/>
                <w:sz w:val="20"/>
                <w:szCs w:val="20"/>
                <w:lang w:val="en-GB"/>
              </w:rPr>
            </w:pPr>
          </w:p>
        </w:tc>
        <w:tc>
          <w:tcPr>
            <w:tcW w:w="2582" w:type="dxa"/>
          </w:tcPr>
          <w:p w:rsidR="0025591A" w:rsidRPr="00EE01B4" w:rsidRDefault="0025591A" w:rsidP="00B5352E">
            <w:pPr>
              <w:rPr>
                <w:rFonts w:cs="Arial"/>
                <w:sz w:val="20"/>
                <w:szCs w:val="20"/>
                <w:lang w:val="en-GB"/>
              </w:rPr>
            </w:pPr>
          </w:p>
        </w:tc>
        <w:tc>
          <w:tcPr>
            <w:tcW w:w="1259" w:type="dxa"/>
          </w:tcPr>
          <w:p w:rsidR="0025591A" w:rsidRPr="00EE01B4" w:rsidRDefault="0025591A" w:rsidP="00B5352E">
            <w:pPr>
              <w:rPr>
                <w:rFonts w:cs="Arial"/>
                <w:sz w:val="20"/>
                <w:szCs w:val="20"/>
                <w:lang w:val="en-GB"/>
              </w:rPr>
            </w:pPr>
          </w:p>
        </w:tc>
        <w:tc>
          <w:tcPr>
            <w:tcW w:w="1259" w:type="dxa"/>
          </w:tcPr>
          <w:p w:rsidR="0025591A" w:rsidRPr="00EE01B4" w:rsidRDefault="0025591A" w:rsidP="00B5352E">
            <w:pPr>
              <w:spacing w:after="40"/>
              <w:rPr>
                <w:sz w:val="20"/>
                <w:szCs w:val="20"/>
                <w:lang w:val="fr-FR"/>
              </w:rPr>
            </w:pPr>
            <w:r w:rsidRPr="00EE01B4">
              <w:rPr>
                <w:rStyle w:val="Hyperlink"/>
                <w:color w:val="auto"/>
                <w:sz w:val="20"/>
                <w:szCs w:val="20"/>
                <w:u w:val="none"/>
                <w:lang w:val="fr-FR"/>
              </w:rPr>
              <w:t>E</w:t>
            </w:r>
          </w:p>
        </w:tc>
        <w:tc>
          <w:tcPr>
            <w:tcW w:w="5293" w:type="dxa"/>
          </w:tcPr>
          <w:p w:rsidR="0025591A" w:rsidRPr="00EE01B4" w:rsidRDefault="0025591A" w:rsidP="00B5352E">
            <w:pPr>
              <w:rPr>
                <w:rStyle w:val="Hyperlink"/>
                <w:color w:val="auto"/>
                <w:sz w:val="20"/>
                <w:szCs w:val="20"/>
                <w:u w:val="none"/>
                <w:lang w:val="fr-FR"/>
              </w:rPr>
            </w:pPr>
            <w:r w:rsidRPr="00EE01B4">
              <w:rPr>
                <w:rStyle w:val="Hyperlink"/>
                <w:color w:val="auto"/>
                <w:sz w:val="20"/>
                <w:szCs w:val="20"/>
                <w:u w:val="none"/>
                <w:lang w:val="fr-FR"/>
              </w:rPr>
              <w:t>IWMI, agriculture</w:t>
            </w:r>
          </w:p>
          <w:p w:rsidR="0025591A" w:rsidRPr="00EE01B4" w:rsidRDefault="0025591A" w:rsidP="00810B8E">
            <w:pPr>
              <w:rPr>
                <w:rFonts w:cs="Arial"/>
                <w:sz w:val="20"/>
                <w:szCs w:val="20"/>
                <w:lang w:val="fr-FR"/>
              </w:rPr>
            </w:pPr>
            <w:r w:rsidRPr="00EE01B4">
              <w:rPr>
                <w:rFonts w:cs="Arial"/>
                <w:sz w:val="20"/>
                <w:szCs w:val="20"/>
                <w:u w:val="single"/>
                <w:lang w:val="fr-FR"/>
              </w:rPr>
              <w:t>Résumé</w:t>
            </w:r>
            <w:r w:rsidRPr="00EE01B4">
              <w:rPr>
                <w:rFonts w:cs="Arial"/>
                <w:sz w:val="20"/>
                <w:szCs w:val="20"/>
                <w:lang w:val="fr-FR"/>
              </w:rPr>
              <w:t xml:space="preserve"> : </w:t>
            </w:r>
            <w:r w:rsidRPr="00EE01B4">
              <w:rPr>
                <w:sz w:val="20"/>
                <w:szCs w:val="20"/>
                <w:lang w:val="fr-FR"/>
              </w:rPr>
              <w:t xml:space="preserve">Ce rapport est une synthèse des résultats d’études multidisciplinaires conduites sur l’agriculture durable dans les zones humides par l’IWMI et ses partenaires en Afrique et en Asie. Il souligne l’importance de l’agriculture dans les zones humides pour la réduction de la pauvreté ainsi que la nécessité d’une planification plus systématique tenant compte des compromis entre les multiples services que fournissent les zones humides. </w:t>
            </w:r>
          </w:p>
        </w:tc>
      </w:tr>
      <w:tr w:rsidR="0025591A" w:rsidRPr="00EE01B4" w:rsidTr="004D1A4F">
        <w:tblPrEx>
          <w:tblBorders>
            <w:bottom w:val="single" w:sz="4" w:space="0" w:color="auto"/>
            <w:insideH w:val="single" w:sz="4" w:space="0" w:color="auto"/>
            <w:insideV w:val="single" w:sz="4" w:space="0" w:color="auto"/>
          </w:tblBorders>
        </w:tblPrEx>
        <w:tc>
          <w:tcPr>
            <w:tcW w:w="3053" w:type="dxa"/>
          </w:tcPr>
          <w:p w:rsidR="0025591A" w:rsidRPr="00EE01B4" w:rsidRDefault="00DF180B" w:rsidP="00B5352E">
            <w:pPr>
              <w:spacing w:after="40"/>
              <w:rPr>
                <w:color w:val="0000FF" w:themeColor="hyperlink"/>
                <w:sz w:val="20"/>
                <w:szCs w:val="20"/>
                <w:u w:val="single"/>
                <w:lang w:val="en-GB"/>
              </w:rPr>
            </w:pPr>
            <w:hyperlink r:id="rId161" w:history="1">
              <w:r w:rsidR="0025591A" w:rsidRPr="00EE01B4">
                <w:rPr>
                  <w:rStyle w:val="Hyperlink"/>
                  <w:sz w:val="20"/>
                  <w:szCs w:val="20"/>
                  <w:lang w:val="en-GB"/>
                </w:rPr>
                <w:t>Water implications of biofuel crops: understanding trade-offs and identifying options</w:t>
              </w:r>
            </w:hyperlink>
          </w:p>
        </w:tc>
        <w:tc>
          <w:tcPr>
            <w:tcW w:w="2168" w:type="dxa"/>
          </w:tcPr>
          <w:p w:rsidR="0025591A" w:rsidRPr="00EE01B4" w:rsidRDefault="0025591A" w:rsidP="00B5352E">
            <w:pPr>
              <w:rPr>
                <w:rFonts w:cs="Arial"/>
                <w:sz w:val="20"/>
                <w:szCs w:val="20"/>
                <w:lang w:val="en-GB"/>
              </w:rPr>
            </w:pPr>
          </w:p>
        </w:tc>
        <w:tc>
          <w:tcPr>
            <w:tcW w:w="2582" w:type="dxa"/>
          </w:tcPr>
          <w:p w:rsidR="0025591A" w:rsidRPr="00EE01B4" w:rsidRDefault="0025591A" w:rsidP="00B5352E">
            <w:pPr>
              <w:rPr>
                <w:rFonts w:cs="Arial"/>
                <w:sz w:val="20"/>
                <w:szCs w:val="20"/>
                <w:lang w:val="en-GB"/>
              </w:rPr>
            </w:pPr>
          </w:p>
        </w:tc>
        <w:tc>
          <w:tcPr>
            <w:tcW w:w="1259" w:type="dxa"/>
          </w:tcPr>
          <w:p w:rsidR="0025591A" w:rsidRPr="00EE01B4" w:rsidRDefault="0025591A" w:rsidP="00B5352E">
            <w:pPr>
              <w:rPr>
                <w:rFonts w:cs="Arial"/>
                <w:sz w:val="20"/>
                <w:szCs w:val="20"/>
                <w:lang w:val="en-GB"/>
              </w:rPr>
            </w:pPr>
          </w:p>
        </w:tc>
        <w:tc>
          <w:tcPr>
            <w:tcW w:w="1259" w:type="dxa"/>
          </w:tcPr>
          <w:p w:rsidR="0025591A" w:rsidRPr="00EE01B4" w:rsidRDefault="0025591A" w:rsidP="00B5352E">
            <w:pPr>
              <w:spacing w:after="40"/>
              <w:rPr>
                <w:sz w:val="20"/>
                <w:szCs w:val="20"/>
                <w:lang w:val="fr-FR"/>
              </w:rPr>
            </w:pPr>
            <w:r w:rsidRPr="00EE01B4">
              <w:rPr>
                <w:sz w:val="20"/>
                <w:szCs w:val="20"/>
                <w:lang w:val="fr-FR"/>
              </w:rPr>
              <w:t>E</w:t>
            </w:r>
          </w:p>
        </w:tc>
        <w:tc>
          <w:tcPr>
            <w:tcW w:w="5293" w:type="dxa"/>
          </w:tcPr>
          <w:p w:rsidR="0025591A" w:rsidRPr="00EE01B4" w:rsidRDefault="0025591A" w:rsidP="00B5352E">
            <w:pPr>
              <w:rPr>
                <w:sz w:val="20"/>
                <w:szCs w:val="20"/>
                <w:lang w:val="fr-FR"/>
              </w:rPr>
            </w:pPr>
            <w:r w:rsidRPr="00EE01B4">
              <w:rPr>
                <w:sz w:val="20"/>
                <w:szCs w:val="20"/>
                <w:lang w:val="fr-FR"/>
              </w:rPr>
              <w:t>IWMI</w:t>
            </w:r>
          </w:p>
          <w:p w:rsidR="0025591A" w:rsidRPr="00EE01B4" w:rsidRDefault="0025591A" w:rsidP="00300F36">
            <w:pPr>
              <w:rPr>
                <w:rFonts w:cs="Arial"/>
                <w:sz w:val="20"/>
                <w:szCs w:val="20"/>
                <w:lang w:val="fr-FR"/>
              </w:rPr>
            </w:pPr>
            <w:r w:rsidRPr="00EE01B4">
              <w:rPr>
                <w:rFonts w:cs="Arial"/>
                <w:sz w:val="20"/>
                <w:szCs w:val="20"/>
                <w:u w:val="single"/>
                <w:lang w:val="fr-FR"/>
              </w:rPr>
              <w:t>Résumé</w:t>
            </w:r>
            <w:r w:rsidRPr="00EE01B4">
              <w:rPr>
                <w:rFonts w:cs="Arial"/>
                <w:sz w:val="20"/>
                <w:szCs w:val="20"/>
                <w:lang w:val="fr-FR"/>
              </w:rPr>
              <w:t xml:space="preserve"> : Le </w:t>
            </w:r>
            <w:r w:rsidRPr="00EE01B4">
              <w:rPr>
                <w:sz w:val="20"/>
                <w:szCs w:val="20"/>
                <w:lang w:val="fr-FR"/>
              </w:rPr>
              <w:t xml:space="preserve">document explique comment l’eau, les aliments, l’énergie, l’environnement et les moyens d’existence ruraux sont tous liés et résume certaines des options offertes aux décideurs pour faire des compromis entre les biocarburants et d’autres utilisations de l’eau. </w:t>
            </w:r>
          </w:p>
        </w:tc>
      </w:tr>
      <w:tr w:rsidR="0025591A" w:rsidRPr="00EE01B4" w:rsidTr="004D1A4F">
        <w:tblPrEx>
          <w:tblBorders>
            <w:bottom w:val="single" w:sz="4" w:space="0" w:color="auto"/>
            <w:insideH w:val="single" w:sz="4" w:space="0" w:color="auto"/>
            <w:insideV w:val="single" w:sz="4" w:space="0" w:color="auto"/>
          </w:tblBorders>
        </w:tblPrEx>
        <w:tc>
          <w:tcPr>
            <w:tcW w:w="3053" w:type="dxa"/>
          </w:tcPr>
          <w:p w:rsidR="0025591A" w:rsidRPr="00EE01B4" w:rsidRDefault="00DF180B" w:rsidP="00B5352E">
            <w:pPr>
              <w:spacing w:after="40"/>
              <w:rPr>
                <w:color w:val="0000FF" w:themeColor="hyperlink"/>
                <w:sz w:val="20"/>
                <w:szCs w:val="20"/>
                <w:u w:val="single"/>
                <w:lang w:val="en-GB"/>
              </w:rPr>
            </w:pPr>
            <w:hyperlink r:id="rId162" w:history="1">
              <w:r w:rsidR="0025591A" w:rsidRPr="00EE01B4">
                <w:rPr>
                  <w:rStyle w:val="Hyperlink"/>
                  <w:sz w:val="20"/>
                  <w:szCs w:val="20"/>
                  <w:lang w:val="en-GB"/>
                </w:rPr>
                <w:t>Working Wetlands: Classifying Wetland Potential for Agriculture</w:t>
              </w:r>
            </w:hyperlink>
          </w:p>
        </w:tc>
        <w:tc>
          <w:tcPr>
            <w:tcW w:w="2168" w:type="dxa"/>
          </w:tcPr>
          <w:p w:rsidR="0025591A" w:rsidRPr="00EE01B4" w:rsidRDefault="0025591A" w:rsidP="00B5352E">
            <w:pPr>
              <w:rPr>
                <w:rFonts w:cs="Arial"/>
                <w:sz w:val="20"/>
                <w:szCs w:val="20"/>
                <w:lang w:val="en-GB"/>
              </w:rPr>
            </w:pPr>
          </w:p>
        </w:tc>
        <w:tc>
          <w:tcPr>
            <w:tcW w:w="2582" w:type="dxa"/>
          </w:tcPr>
          <w:p w:rsidR="0025591A" w:rsidRPr="00EE01B4" w:rsidRDefault="0025591A" w:rsidP="00B5352E">
            <w:pPr>
              <w:rPr>
                <w:rFonts w:cs="Arial"/>
                <w:sz w:val="20"/>
                <w:szCs w:val="20"/>
                <w:lang w:val="en-GB"/>
              </w:rPr>
            </w:pPr>
          </w:p>
        </w:tc>
        <w:tc>
          <w:tcPr>
            <w:tcW w:w="1259" w:type="dxa"/>
          </w:tcPr>
          <w:p w:rsidR="0025591A" w:rsidRPr="00EE01B4" w:rsidRDefault="0025591A" w:rsidP="00B5352E">
            <w:pPr>
              <w:rPr>
                <w:rFonts w:cs="Arial"/>
                <w:sz w:val="20"/>
                <w:szCs w:val="20"/>
                <w:lang w:val="en-GB"/>
              </w:rPr>
            </w:pPr>
          </w:p>
        </w:tc>
        <w:tc>
          <w:tcPr>
            <w:tcW w:w="1259" w:type="dxa"/>
          </w:tcPr>
          <w:p w:rsidR="0025591A" w:rsidRPr="00EE01B4" w:rsidRDefault="0025591A" w:rsidP="00B5352E">
            <w:pPr>
              <w:spacing w:after="40"/>
              <w:rPr>
                <w:sz w:val="20"/>
                <w:szCs w:val="20"/>
                <w:lang w:val="fr-FR"/>
              </w:rPr>
            </w:pPr>
            <w:r w:rsidRPr="00EE01B4">
              <w:rPr>
                <w:rStyle w:val="Hyperlink"/>
                <w:color w:val="auto"/>
                <w:sz w:val="20"/>
                <w:szCs w:val="20"/>
                <w:u w:val="none"/>
                <w:lang w:val="fr-FR"/>
              </w:rPr>
              <w:t>E</w:t>
            </w:r>
          </w:p>
        </w:tc>
        <w:tc>
          <w:tcPr>
            <w:tcW w:w="5293" w:type="dxa"/>
          </w:tcPr>
          <w:p w:rsidR="0025591A" w:rsidRPr="00EE01B4" w:rsidRDefault="0025591A" w:rsidP="00B5352E">
            <w:pPr>
              <w:rPr>
                <w:rStyle w:val="Hyperlink"/>
                <w:color w:val="auto"/>
                <w:sz w:val="20"/>
                <w:szCs w:val="20"/>
                <w:u w:val="none"/>
                <w:lang w:val="fr-FR"/>
              </w:rPr>
            </w:pPr>
            <w:r w:rsidRPr="00EE01B4">
              <w:rPr>
                <w:rStyle w:val="Hyperlink"/>
                <w:color w:val="auto"/>
                <w:sz w:val="20"/>
                <w:szCs w:val="20"/>
                <w:u w:val="none"/>
                <w:lang w:val="fr-FR"/>
              </w:rPr>
              <w:t>IWMI, agriculture</w:t>
            </w:r>
          </w:p>
          <w:p w:rsidR="0025591A" w:rsidRPr="00EE01B4" w:rsidRDefault="0025591A" w:rsidP="00394BCB">
            <w:pPr>
              <w:rPr>
                <w:rFonts w:cs="Arial"/>
                <w:sz w:val="20"/>
                <w:szCs w:val="20"/>
                <w:lang w:val="fr-FR"/>
              </w:rPr>
            </w:pPr>
            <w:r w:rsidRPr="00EE01B4">
              <w:rPr>
                <w:rFonts w:cs="Arial"/>
                <w:sz w:val="20"/>
                <w:szCs w:val="20"/>
                <w:u w:val="single"/>
                <w:lang w:val="fr-FR"/>
              </w:rPr>
              <w:t>Résumé</w:t>
            </w:r>
            <w:r w:rsidRPr="00EE01B4">
              <w:rPr>
                <w:rFonts w:cs="Arial"/>
                <w:sz w:val="20"/>
                <w:szCs w:val="20"/>
                <w:lang w:val="fr-FR"/>
              </w:rPr>
              <w:t xml:space="preserve"> : La formulation </w:t>
            </w:r>
            <w:proofErr w:type="gramStart"/>
            <w:r w:rsidRPr="00EE01B4">
              <w:rPr>
                <w:rFonts w:cs="Arial"/>
                <w:sz w:val="20"/>
                <w:szCs w:val="20"/>
                <w:lang w:val="fr-FR"/>
              </w:rPr>
              <w:t xml:space="preserve">d’une politique </w:t>
            </w:r>
            <w:proofErr w:type="spellStart"/>
            <w:r w:rsidRPr="00EE01B4">
              <w:rPr>
                <w:rFonts w:cs="Arial"/>
                <w:sz w:val="20"/>
                <w:szCs w:val="20"/>
                <w:lang w:val="fr-FR"/>
              </w:rPr>
              <w:t>pluriacteurs</w:t>
            </w:r>
            <w:proofErr w:type="spellEnd"/>
            <w:proofErr w:type="gramEnd"/>
            <w:r w:rsidRPr="00EE01B4">
              <w:rPr>
                <w:rFonts w:cs="Arial"/>
                <w:sz w:val="20"/>
                <w:szCs w:val="20"/>
                <w:lang w:val="fr-FR"/>
              </w:rPr>
              <w:t xml:space="preserve"> et la </w:t>
            </w:r>
            <w:r w:rsidRPr="00EE01B4">
              <w:rPr>
                <w:rFonts w:cs="Arial"/>
                <w:sz w:val="20"/>
                <w:szCs w:val="20"/>
                <w:lang w:val="fr-FR"/>
              </w:rPr>
              <w:lastRenderedPageBreak/>
              <w:t xml:space="preserve">planification d’actions (MPAP) constituent une approche spécifique visant à influencer ou changer les politiques… Ce rapport essaie de comparer l’approche MPAP et les travaux associés avec les processus </w:t>
            </w:r>
            <w:proofErr w:type="spellStart"/>
            <w:r w:rsidRPr="00EE01B4">
              <w:rPr>
                <w:rFonts w:cs="Arial"/>
                <w:sz w:val="20"/>
                <w:szCs w:val="20"/>
                <w:lang w:val="fr-FR"/>
              </w:rPr>
              <w:t>pluriacteurs</w:t>
            </w:r>
            <w:proofErr w:type="spellEnd"/>
            <w:r w:rsidRPr="00EE01B4">
              <w:rPr>
                <w:rFonts w:cs="Arial"/>
                <w:sz w:val="20"/>
                <w:szCs w:val="20"/>
                <w:lang w:val="fr-FR"/>
              </w:rPr>
              <w:t xml:space="preserve"> dans trois villes d’Afrique et deux villes d’Asie, visant à la reconnaissance politique en appui à l’agriculture urbaine. </w:t>
            </w:r>
          </w:p>
        </w:tc>
      </w:tr>
      <w:tr w:rsidR="0025591A" w:rsidRPr="00EE01B4" w:rsidTr="004D1A4F">
        <w:tblPrEx>
          <w:tblBorders>
            <w:bottom w:val="single" w:sz="4" w:space="0" w:color="auto"/>
            <w:insideH w:val="single" w:sz="4" w:space="0" w:color="auto"/>
            <w:insideV w:val="single" w:sz="4" w:space="0" w:color="auto"/>
          </w:tblBorders>
        </w:tblPrEx>
        <w:tc>
          <w:tcPr>
            <w:tcW w:w="3053" w:type="dxa"/>
          </w:tcPr>
          <w:p w:rsidR="0025591A" w:rsidRPr="00EE01B4" w:rsidRDefault="00DF180B" w:rsidP="00B5352E">
            <w:pPr>
              <w:spacing w:after="40"/>
              <w:rPr>
                <w:color w:val="0000FF" w:themeColor="hyperlink"/>
                <w:sz w:val="20"/>
                <w:szCs w:val="20"/>
                <w:u w:val="single"/>
                <w:lang w:val="en-GB"/>
              </w:rPr>
            </w:pPr>
            <w:hyperlink r:id="rId163" w:history="1">
              <w:r w:rsidR="0025591A" w:rsidRPr="00EE01B4">
                <w:rPr>
                  <w:rStyle w:val="Hyperlink"/>
                  <w:sz w:val="20"/>
                  <w:szCs w:val="20"/>
                  <w:lang w:val="en-GB"/>
                </w:rPr>
                <w:t>Practical guidance for implementing RSPO Principles and Criteria in relation to peatlands</w:t>
              </w:r>
            </w:hyperlink>
          </w:p>
        </w:tc>
        <w:tc>
          <w:tcPr>
            <w:tcW w:w="2168" w:type="dxa"/>
          </w:tcPr>
          <w:p w:rsidR="0025591A" w:rsidRPr="00EE01B4" w:rsidRDefault="0025591A" w:rsidP="00B5352E">
            <w:pPr>
              <w:rPr>
                <w:rFonts w:cs="Arial"/>
                <w:sz w:val="20"/>
                <w:szCs w:val="20"/>
                <w:lang w:val="en-GB"/>
              </w:rPr>
            </w:pPr>
          </w:p>
        </w:tc>
        <w:tc>
          <w:tcPr>
            <w:tcW w:w="2582" w:type="dxa"/>
          </w:tcPr>
          <w:p w:rsidR="0025591A" w:rsidRPr="00EE01B4" w:rsidRDefault="0025591A" w:rsidP="00B5352E">
            <w:pPr>
              <w:rPr>
                <w:rFonts w:cs="Arial"/>
                <w:sz w:val="20"/>
                <w:szCs w:val="20"/>
                <w:lang w:val="en-GB"/>
              </w:rPr>
            </w:pPr>
          </w:p>
        </w:tc>
        <w:tc>
          <w:tcPr>
            <w:tcW w:w="1259" w:type="dxa"/>
          </w:tcPr>
          <w:p w:rsidR="0025591A" w:rsidRPr="00EE01B4" w:rsidRDefault="0025591A" w:rsidP="00B5352E">
            <w:pPr>
              <w:rPr>
                <w:rFonts w:cs="Arial"/>
                <w:sz w:val="20"/>
                <w:szCs w:val="20"/>
                <w:lang w:val="en-GB"/>
              </w:rPr>
            </w:pPr>
          </w:p>
        </w:tc>
        <w:tc>
          <w:tcPr>
            <w:tcW w:w="1259" w:type="dxa"/>
          </w:tcPr>
          <w:p w:rsidR="0025591A" w:rsidRPr="00EE01B4" w:rsidRDefault="0025591A" w:rsidP="00B5352E">
            <w:pPr>
              <w:spacing w:after="40"/>
              <w:rPr>
                <w:sz w:val="20"/>
                <w:szCs w:val="20"/>
                <w:lang w:val="fr-FR"/>
              </w:rPr>
            </w:pPr>
            <w:r w:rsidRPr="00EE01B4">
              <w:rPr>
                <w:sz w:val="20"/>
                <w:szCs w:val="20"/>
                <w:lang w:val="fr-FR"/>
              </w:rPr>
              <w:t>E</w:t>
            </w:r>
          </w:p>
        </w:tc>
        <w:tc>
          <w:tcPr>
            <w:tcW w:w="5293" w:type="dxa"/>
          </w:tcPr>
          <w:p w:rsidR="0025591A" w:rsidRPr="00EE01B4" w:rsidRDefault="0025591A" w:rsidP="00B5352E">
            <w:pPr>
              <w:rPr>
                <w:sz w:val="20"/>
                <w:szCs w:val="20"/>
                <w:lang w:val="fr-FR"/>
              </w:rPr>
            </w:pPr>
            <w:proofErr w:type="spellStart"/>
            <w:r w:rsidRPr="00EE01B4">
              <w:rPr>
                <w:sz w:val="20"/>
                <w:szCs w:val="20"/>
                <w:lang w:val="fr-FR"/>
              </w:rPr>
              <w:t>Wetlands</w:t>
            </w:r>
            <w:proofErr w:type="spellEnd"/>
            <w:r w:rsidRPr="00EE01B4">
              <w:rPr>
                <w:sz w:val="20"/>
                <w:szCs w:val="20"/>
                <w:lang w:val="fr-FR"/>
              </w:rPr>
              <w:t xml:space="preserve"> International; (projet)</w:t>
            </w:r>
          </w:p>
          <w:p w:rsidR="0025591A" w:rsidRPr="00EE01B4" w:rsidRDefault="0025591A" w:rsidP="00394BCB">
            <w:pPr>
              <w:rPr>
                <w:rFonts w:cs="Arial"/>
                <w:sz w:val="20"/>
                <w:szCs w:val="20"/>
                <w:lang w:val="fr-FR"/>
              </w:rPr>
            </w:pPr>
            <w:r w:rsidRPr="00EE01B4">
              <w:rPr>
                <w:rFonts w:cs="Arial"/>
                <w:sz w:val="20"/>
                <w:szCs w:val="20"/>
                <w:u w:val="single"/>
                <w:lang w:val="fr-FR"/>
              </w:rPr>
              <w:t>Résumé</w:t>
            </w:r>
            <w:r w:rsidRPr="00EE01B4">
              <w:rPr>
                <w:rFonts w:cs="Arial"/>
                <w:sz w:val="20"/>
                <w:szCs w:val="20"/>
                <w:lang w:val="fr-FR"/>
              </w:rPr>
              <w:t> : En avril </w:t>
            </w:r>
            <w:r w:rsidRPr="00EE01B4">
              <w:rPr>
                <w:sz w:val="20"/>
                <w:szCs w:val="20"/>
                <w:lang w:val="fr-FR"/>
              </w:rPr>
              <w:t xml:space="preserve">2013, la Table ronde sur l’huile de palme durable … a adopté un nouvel ensemble de principes et de critères, y compris différents critères, indicateurs et orientations pour la production d’huile de palme sur la tourbe et les questions particulières de durabilité liées à cette activité. Pour certains points, une « période d’application » destinée à l’apprentissage a été intégrée, afin de permettre aux agriculteurs d’ajuster leurs pratiques et leur planification. Ce manuel a été rédigé par </w:t>
            </w:r>
            <w:proofErr w:type="spellStart"/>
            <w:r w:rsidRPr="00EE01B4">
              <w:rPr>
                <w:sz w:val="20"/>
                <w:szCs w:val="20"/>
                <w:lang w:val="fr-FR"/>
              </w:rPr>
              <w:t>Wetlands</w:t>
            </w:r>
            <w:proofErr w:type="spellEnd"/>
            <w:r w:rsidRPr="00EE01B4">
              <w:rPr>
                <w:sz w:val="20"/>
                <w:szCs w:val="20"/>
                <w:lang w:val="fr-FR"/>
              </w:rPr>
              <w:t xml:space="preserve"> International afin d’aider et de stimuler ce processus d’apprentissage. </w:t>
            </w:r>
          </w:p>
        </w:tc>
      </w:tr>
      <w:tr w:rsidR="0025591A" w:rsidRPr="00EE01B4" w:rsidTr="004D1A4F">
        <w:tblPrEx>
          <w:tblBorders>
            <w:bottom w:val="single" w:sz="4" w:space="0" w:color="auto"/>
            <w:insideH w:val="single" w:sz="4" w:space="0" w:color="auto"/>
            <w:insideV w:val="single" w:sz="4" w:space="0" w:color="auto"/>
          </w:tblBorders>
        </w:tblPrEx>
        <w:tc>
          <w:tcPr>
            <w:tcW w:w="3053" w:type="dxa"/>
          </w:tcPr>
          <w:p w:rsidR="0025591A" w:rsidRPr="00EE01B4" w:rsidRDefault="00DF180B" w:rsidP="00B5352E">
            <w:pPr>
              <w:spacing w:after="40"/>
              <w:rPr>
                <w:color w:val="0000FF" w:themeColor="hyperlink"/>
                <w:sz w:val="20"/>
                <w:szCs w:val="20"/>
                <w:u w:val="single"/>
                <w:lang w:val="fr-FR"/>
              </w:rPr>
            </w:pPr>
            <w:hyperlink r:id="rId164" w:history="1">
              <w:r w:rsidR="0025591A" w:rsidRPr="00EE01B4">
                <w:rPr>
                  <w:rStyle w:val="Hyperlink"/>
                  <w:sz w:val="20"/>
                  <w:szCs w:val="20"/>
                  <w:lang w:val="fr-FR"/>
                </w:rPr>
                <w:t>Destination zones humides: Pour un tourisme durable</w:t>
              </w:r>
            </w:hyperlink>
            <w:r w:rsidR="0025591A" w:rsidRPr="00EE01B4">
              <w:rPr>
                <w:sz w:val="20"/>
                <w:szCs w:val="20"/>
                <w:lang w:val="fr-FR"/>
              </w:rPr>
              <w:t xml:space="preserve"> </w:t>
            </w:r>
          </w:p>
        </w:tc>
        <w:tc>
          <w:tcPr>
            <w:tcW w:w="2168" w:type="dxa"/>
          </w:tcPr>
          <w:p w:rsidR="0025591A" w:rsidRPr="00EE01B4" w:rsidRDefault="0025591A" w:rsidP="00B5352E">
            <w:pPr>
              <w:rPr>
                <w:rFonts w:cs="Arial"/>
                <w:sz w:val="20"/>
                <w:szCs w:val="20"/>
                <w:lang w:val="fr-FR"/>
              </w:rPr>
            </w:pPr>
          </w:p>
        </w:tc>
        <w:tc>
          <w:tcPr>
            <w:tcW w:w="2582" w:type="dxa"/>
          </w:tcPr>
          <w:p w:rsidR="0025591A" w:rsidRPr="00EE01B4" w:rsidRDefault="0025591A" w:rsidP="00B5352E">
            <w:pPr>
              <w:rPr>
                <w:rFonts w:cs="Arial"/>
                <w:sz w:val="20"/>
                <w:szCs w:val="20"/>
                <w:lang w:val="fr-FR"/>
              </w:rPr>
            </w:pPr>
          </w:p>
        </w:tc>
        <w:tc>
          <w:tcPr>
            <w:tcW w:w="1259" w:type="dxa"/>
          </w:tcPr>
          <w:p w:rsidR="0025591A" w:rsidRPr="00EE01B4" w:rsidRDefault="0025591A" w:rsidP="00B5352E">
            <w:pPr>
              <w:rPr>
                <w:rFonts w:cs="Arial"/>
                <w:sz w:val="20"/>
                <w:szCs w:val="20"/>
                <w:lang w:val="fr-FR"/>
              </w:rPr>
            </w:pPr>
          </w:p>
        </w:tc>
        <w:tc>
          <w:tcPr>
            <w:tcW w:w="1259" w:type="dxa"/>
          </w:tcPr>
          <w:p w:rsidR="0025591A" w:rsidRPr="00EE01B4" w:rsidRDefault="0025591A" w:rsidP="00B5352E">
            <w:pPr>
              <w:spacing w:after="40"/>
              <w:rPr>
                <w:sz w:val="20"/>
                <w:szCs w:val="20"/>
                <w:lang w:val="fr-FR"/>
              </w:rPr>
            </w:pPr>
            <w:r w:rsidRPr="00EE01B4">
              <w:rPr>
                <w:sz w:val="20"/>
                <w:szCs w:val="20"/>
                <w:lang w:val="fr-FR"/>
              </w:rPr>
              <w:t>EFSA</w:t>
            </w:r>
          </w:p>
        </w:tc>
        <w:tc>
          <w:tcPr>
            <w:tcW w:w="5293" w:type="dxa"/>
          </w:tcPr>
          <w:p w:rsidR="0025591A" w:rsidRPr="00EE01B4" w:rsidRDefault="0025591A" w:rsidP="00B5352E">
            <w:pPr>
              <w:rPr>
                <w:sz w:val="20"/>
                <w:szCs w:val="20"/>
                <w:lang w:val="fr-FR"/>
              </w:rPr>
            </w:pPr>
            <w:r w:rsidRPr="00EE01B4">
              <w:rPr>
                <w:sz w:val="20"/>
                <w:szCs w:val="20"/>
                <w:lang w:val="fr-FR"/>
              </w:rPr>
              <w:t xml:space="preserve">Ramsar et l’Organisation mondiale du tourisme </w:t>
            </w:r>
          </w:p>
          <w:p w:rsidR="0025591A" w:rsidRPr="00EE01B4" w:rsidRDefault="0025591A" w:rsidP="00B5352E">
            <w:pPr>
              <w:rPr>
                <w:rFonts w:cs="Arial"/>
                <w:sz w:val="20"/>
                <w:szCs w:val="20"/>
                <w:lang w:val="fr-FR"/>
              </w:rPr>
            </w:pPr>
            <w:r w:rsidRPr="00EE01B4">
              <w:rPr>
                <w:rFonts w:cs="Arial"/>
                <w:sz w:val="20"/>
                <w:szCs w:val="20"/>
                <w:u w:val="single"/>
                <w:lang w:val="fr-FR"/>
              </w:rPr>
              <w:t>Résumé</w:t>
            </w:r>
            <w:r w:rsidRPr="00EE01B4">
              <w:rPr>
                <w:rFonts w:cs="Arial"/>
                <w:sz w:val="20"/>
                <w:szCs w:val="20"/>
                <w:lang w:val="fr-FR"/>
              </w:rPr>
              <w:t xml:space="preserve"> : </w:t>
            </w:r>
            <w:r w:rsidRPr="00EE01B4">
              <w:rPr>
                <w:sz w:val="20"/>
                <w:szCs w:val="20"/>
                <w:lang w:val="fr-FR"/>
              </w:rPr>
              <w:t>Quatorze études de cas forment la substance de cette publication ; elles illustrent la diversité des types de zones humides qui existent dans le monde et le niveau de développement très variable du tourisme dans les zones humides d’importance internationale (ou « Sites Ramsar »), tout en donnant des exemples de mesures efficaces de gestion du tourisme dans le secteur des zones humides. Ces informations visent en particulier les organes de gestion des zones humides mais devraient aussi être utiles à de nombreuses autres personnes.</w:t>
            </w:r>
          </w:p>
        </w:tc>
      </w:tr>
      <w:tr w:rsidR="0025591A" w:rsidRPr="00EE01B4" w:rsidTr="004D1A4F">
        <w:tblPrEx>
          <w:tblBorders>
            <w:bottom w:val="single" w:sz="4" w:space="0" w:color="auto"/>
            <w:insideH w:val="single" w:sz="4" w:space="0" w:color="auto"/>
            <w:insideV w:val="single" w:sz="4" w:space="0" w:color="auto"/>
          </w:tblBorders>
        </w:tblPrEx>
        <w:tc>
          <w:tcPr>
            <w:tcW w:w="3053" w:type="dxa"/>
          </w:tcPr>
          <w:p w:rsidR="0025591A" w:rsidRPr="00EE01B4" w:rsidRDefault="00DF180B" w:rsidP="00B5352E">
            <w:pPr>
              <w:spacing w:after="40"/>
              <w:rPr>
                <w:color w:val="0000FF" w:themeColor="hyperlink"/>
                <w:sz w:val="20"/>
                <w:szCs w:val="20"/>
                <w:u w:val="single"/>
                <w:lang w:val="en-GB"/>
              </w:rPr>
            </w:pPr>
            <w:hyperlink r:id="rId165" w:history="1">
              <w:r w:rsidR="0025591A" w:rsidRPr="00EE01B4">
                <w:rPr>
                  <w:rStyle w:val="Hyperlink"/>
                  <w:sz w:val="20"/>
                  <w:szCs w:val="20"/>
                  <w:lang w:val="en-GB"/>
                </w:rPr>
                <w:t>Tourism Supporting Biodiversity: A Manual on applying the CBD Guidelines on Biodiversity and Tourism Development</w:t>
              </w:r>
            </w:hyperlink>
          </w:p>
        </w:tc>
        <w:tc>
          <w:tcPr>
            <w:tcW w:w="2168" w:type="dxa"/>
          </w:tcPr>
          <w:p w:rsidR="0025591A" w:rsidRPr="00EE01B4" w:rsidRDefault="0025591A" w:rsidP="00B5352E">
            <w:pPr>
              <w:rPr>
                <w:rFonts w:cs="Arial"/>
                <w:sz w:val="20"/>
                <w:szCs w:val="20"/>
                <w:lang w:val="en-GB"/>
              </w:rPr>
            </w:pPr>
          </w:p>
        </w:tc>
        <w:tc>
          <w:tcPr>
            <w:tcW w:w="2582" w:type="dxa"/>
          </w:tcPr>
          <w:p w:rsidR="0025591A" w:rsidRPr="00EE01B4" w:rsidRDefault="0025591A" w:rsidP="00B5352E">
            <w:pPr>
              <w:rPr>
                <w:rFonts w:cs="Arial"/>
                <w:sz w:val="20"/>
                <w:szCs w:val="20"/>
                <w:lang w:val="en-GB"/>
              </w:rPr>
            </w:pPr>
          </w:p>
        </w:tc>
        <w:tc>
          <w:tcPr>
            <w:tcW w:w="1259" w:type="dxa"/>
          </w:tcPr>
          <w:p w:rsidR="0025591A" w:rsidRPr="00EE01B4" w:rsidRDefault="0025591A" w:rsidP="00B5352E">
            <w:pPr>
              <w:rPr>
                <w:rFonts w:cs="Arial"/>
                <w:sz w:val="20"/>
                <w:szCs w:val="20"/>
                <w:lang w:val="en-GB"/>
              </w:rPr>
            </w:pPr>
          </w:p>
        </w:tc>
        <w:tc>
          <w:tcPr>
            <w:tcW w:w="1259" w:type="dxa"/>
          </w:tcPr>
          <w:p w:rsidR="0025591A" w:rsidRPr="00EE01B4" w:rsidRDefault="0025591A" w:rsidP="00B5352E">
            <w:pPr>
              <w:spacing w:after="40"/>
              <w:rPr>
                <w:sz w:val="20"/>
                <w:szCs w:val="20"/>
                <w:lang w:val="fr-FR"/>
              </w:rPr>
            </w:pPr>
            <w:r w:rsidRPr="00EE01B4">
              <w:rPr>
                <w:sz w:val="20"/>
                <w:szCs w:val="20"/>
                <w:lang w:val="fr-FR"/>
              </w:rPr>
              <w:t>E</w:t>
            </w:r>
          </w:p>
        </w:tc>
        <w:tc>
          <w:tcPr>
            <w:tcW w:w="5293" w:type="dxa"/>
          </w:tcPr>
          <w:p w:rsidR="0025591A" w:rsidRPr="00EE01B4" w:rsidRDefault="0025591A" w:rsidP="00B5352E">
            <w:pPr>
              <w:rPr>
                <w:sz w:val="20"/>
                <w:szCs w:val="20"/>
                <w:lang w:val="fr-FR"/>
              </w:rPr>
            </w:pPr>
            <w:r w:rsidRPr="00EE01B4">
              <w:rPr>
                <w:sz w:val="20"/>
                <w:szCs w:val="20"/>
                <w:lang w:val="fr-FR"/>
              </w:rPr>
              <w:t>PNUE et CDB</w:t>
            </w:r>
          </w:p>
          <w:p w:rsidR="0025591A" w:rsidRPr="00EE01B4" w:rsidRDefault="0025591A" w:rsidP="00647342">
            <w:pPr>
              <w:rPr>
                <w:rFonts w:cs="Arial"/>
                <w:sz w:val="20"/>
                <w:szCs w:val="20"/>
                <w:lang w:val="fr-FR"/>
              </w:rPr>
            </w:pPr>
            <w:r w:rsidRPr="00EE01B4">
              <w:rPr>
                <w:rFonts w:cs="Arial"/>
                <w:sz w:val="20"/>
                <w:szCs w:val="20"/>
                <w:u w:val="single"/>
                <w:lang w:val="fr-FR"/>
              </w:rPr>
              <w:t>Résumé</w:t>
            </w:r>
            <w:r w:rsidRPr="00EE01B4">
              <w:rPr>
                <w:rFonts w:cs="Arial"/>
                <w:sz w:val="20"/>
                <w:szCs w:val="20"/>
                <w:lang w:val="fr-FR"/>
              </w:rPr>
              <w:t xml:space="preserve"> : Ce manuel fournit des informations aux planificateurs, administrateurs et décideurs qui participent au développement du tourisme et à la gestion des ressources dans les régions où la biodiversité est fragile. Le but est d’aider à inscrire les préoccupations relatives à la biodiversité et aux services écosystémiques dans le développement d’un tourisme durable. </w:t>
            </w:r>
            <w:r w:rsidRPr="00EE01B4">
              <w:rPr>
                <w:sz w:val="20"/>
                <w:szCs w:val="20"/>
                <w:lang w:val="fr-FR"/>
              </w:rPr>
              <w:t xml:space="preserve">Les autorités publiques et autres agences en mesure d’influencer les impacts du tourisme sont les publics ciblés, mais le manuel convient aussi à d’éventuels </w:t>
            </w:r>
            <w:r w:rsidRPr="00EE01B4">
              <w:rPr>
                <w:sz w:val="20"/>
                <w:szCs w:val="20"/>
                <w:lang w:val="fr-FR"/>
              </w:rPr>
              <w:lastRenderedPageBreak/>
              <w:t xml:space="preserve">promoteurs de projets de tourisme.  </w:t>
            </w:r>
          </w:p>
        </w:tc>
      </w:tr>
      <w:tr w:rsidR="0025591A" w:rsidRPr="00EE01B4" w:rsidTr="004D1A4F">
        <w:tblPrEx>
          <w:tblBorders>
            <w:bottom w:val="single" w:sz="4" w:space="0" w:color="auto"/>
            <w:insideH w:val="single" w:sz="4" w:space="0" w:color="auto"/>
            <w:insideV w:val="single" w:sz="4" w:space="0" w:color="auto"/>
          </w:tblBorders>
        </w:tblPrEx>
        <w:tc>
          <w:tcPr>
            <w:tcW w:w="3053" w:type="dxa"/>
          </w:tcPr>
          <w:p w:rsidR="0025591A" w:rsidRPr="00EE01B4" w:rsidRDefault="00DF180B" w:rsidP="00B5352E">
            <w:pPr>
              <w:spacing w:after="40"/>
              <w:rPr>
                <w:color w:val="0000FF" w:themeColor="hyperlink"/>
                <w:sz w:val="20"/>
                <w:szCs w:val="20"/>
                <w:u w:val="single"/>
                <w:lang w:val="en-GB"/>
              </w:rPr>
            </w:pPr>
            <w:hyperlink r:id="rId166" w:history="1">
              <w:r w:rsidR="0025591A" w:rsidRPr="00EE01B4">
                <w:rPr>
                  <w:rStyle w:val="Hyperlink"/>
                  <w:sz w:val="20"/>
                  <w:szCs w:val="20"/>
                  <w:lang w:val="en-GB"/>
                </w:rPr>
                <w:t>Ecosystems and Human Well-Being: Wetlands and Water Synthesis</w:t>
              </w:r>
            </w:hyperlink>
          </w:p>
        </w:tc>
        <w:tc>
          <w:tcPr>
            <w:tcW w:w="2168" w:type="dxa"/>
          </w:tcPr>
          <w:p w:rsidR="0025591A" w:rsidRPr="00EE01B4" w:rsidRDefault="0025591A" w:rsidP="00B5352E">
            <w:pPr>
              <w:rPr>
                <w:rFonts w:cs="Arial"/>
                <w:sz w:val="20"/>
                <w:szCs w:val="20"/>
                <w:lang w:val="en-GB"/>
              </w:rPr>
            </w:pPr>
          </w:p>
        </w:tc>
        <w:tc>
          <w:tcPr>
            <w:tcW w:w="2582" w:type="dxa"/>
          </w:tcPr>
          <w:p w:rsidR="0025591A" w:rsidRPr="00EE01B4" w:rsidRDefault="0025591A" w:rsidP="00B5352E">
            <w:pPr>
              <w:rPr>
                <w:rFonts w:cs="Arial"/>
                <w:sz w:val="20"/>
                <w:szCs w:val="20"/>
                <w:lang w:val="en-GB"/>
              </w:rPr>
            </w:pPr>
          </w:p>
        </w:tc>
        <w:tc>
          <w:tcPr>
            <w:tcW w:w="1259" w:type="dxa"/>
          </w:tcPr>
          <w:p w:rsidR="0025591A" w:rsidRPr="00EE01B4" w:rsidRDefault="0025591A" w:rsidP="00B5352E">
            <w:pPr>
              <w:rPr>
                <w:rFonts w:cs="Arial"/>
                <w:sz w:val="20"/>
                <w:szCs w:val="20"/>
                <w:lang w:val="en-GB"/>
              </w:rPr>
            </w:pPr>
          </w:p>
        </w:tc>
        <w:tc>
          <w:tcPr>
            <w:tcW w:w="1259" w:type="dxa"/>
          </w:tcPr>
          <w:p w:rsidR="0025591A" w:rsidRPr="00EE01B4" w:rsidRDefault="0025591A" w:rsidP="00647342">
            <w:pPr>
              <w:spacing w:after="40"/>
              <w:rPr>
                <w:sz w:val="20"/>
                <w:szCs w:val="20"/>
                <w:lang w:val="fr-FR"/>
              </w:rPr>
            </w:pPr>
            <w:r w:rsidRPr="00EE01B4">
              <w:rPr>
                <w:sz w:val="20"/>
                <w:szCs w:val="20"/>
                <w:lang w:val="fr-FR"/>
              </w:rPr>
              <w:t>ES (et autres)</w:t>
            </w:r>
          </w:p>
        </w:tc>
        <w:tc>
          <w:tcPr>
            <w:tcW w:w="5293" w:type="dxa"/>
          </w:tcPr>
          <w:p w:rsidR="0025591A" w:rsidRPr="00EE01B4" w:rsidRDefault="0025591A" w:rsidP="00647342">
            <w:pPr>
              <w:rPr>
                <w:sz w:val="20"/>
                <w:szCs w:val="20"/>
                <w:lang w:val="fr-FR"/>
              </w:rPr>
            </w:pPr>
            <w:r w:rsidRPr="00EE01B4">
              <w:rPr>
                <w:sz w:val="20"/>
                <w:szCs w:val="20"/>
                <w:lang w:val="fr-FR"/>
              </w:rPr>
              <w:t>Évaluation des écosystèmes en début de millénaire</w:t>
            </w:r>
          </w:p>
          <w:p w:rsidR="0025591A" w:rsidRPr="00EE01B4" w:rsidRDefault="0025591A" w:rsidP="00647342">
            <w:pPr>
              <w:rPr>
                <w:rFonts w:cs="Arial"/>
                <w:sz w:val="20"/>
                <w:szCs w:val="20"/>
                <w:lang w:val="fr-FR"/>
              </w:rPr>
            </w:pPr>
            <w:r w:rsidRPr="00EE01B4">
              <w:rPr>
                <w:sz w:val="20"/>
                <w:szCs w:val="20"/>
                <w:u w:val="single"/>
                <w:lang w:val="fr-FR"/>
              </w:rPr>
              <w:t>Résumé</w:t>
            </w:r>
            <w:r w:rsidRPr="00EE01B4">
              <w:rPr>
                <w:sz w:val="20"/>
                <w:szCs w:val="20"/>
                <w:lang w:val="fr-FR"/>
              </w:rPr>
              <w:t xml:space="preserve"> : Ce rapport, synthétisant les conclusions de l’EM concernant les zones humides intérieures, côtières et marines proches du rivage, est un produit clé de l’EM pour la Convention de Ramsar… La synthèse souligne le lien entre les zones humides et l’eau et nous aidera à fixer l’agenda futur de Ramsar… L’Évaluation des écosystèmes en début de millénaire était un processus international d’une durée de quatre ans (2001–2005) conçu pour répondre aux besoins des décideurs en matière d’informations sur les liens entre les changements écosystémiques et le bien être humain. Elle est axée sur la manière dont les changements dans les écosystèmes et les services écosystémiques ont touché le bien être humain, la manière dont les changements dans les écosystèmes pourraient toucher les populations dans les décennies à venir et le type de réponses pouvant être adoptées aux niveaux local, national, régional ou mondial pour améliorer la gestion des écosystèmes et ainsi contribuer au bien être humain.</w:t>
            </w:r>
          </w:p>
        </w:tc>
      </w:tr>
      <w:tr w:rsidR="0025591A" w:rsidRPr="00EE01B4" w:rsidTr="004D1A4F">
        <w:tblPrEx>
          <w:tblBorders>
            <w:bottom w:val="single" w:sz="4" w:space="0" w:color="auto"/>
            <w:insideH w:val="single" w:sz="4" w:space="0" w:color="auto"/>
            <w:insideV w:val="single" w:sz="4" w:space="0" w:color="auto"/>
          </w:tblBorders>
        </w:tblPrEx>
        <w:tc>
          <w:tcPr>
            <w:tcW w:w="3053" w:type="dxa"/>
          </w:tcPr>
          <w:p w:rsidR="0025591A" w:rsidRPr="00EE01B4" w:rsidRDefault="00DF180B" w:rsidP="00B5352E">
            <w:pPr>
              <w:spacing w:after="40"/>
              <w:rPr>
                <w:color w:val="0000FF" w:themeColor="hyperlink"/>
                <w:sz w:val="20"/>
                <w:szCs w:val="20"/>
                <w:u w:val="single"/>
                <w:lang w:val="en-GB"/>
              </w:rPr>
            </w:pPr>
            <w:hyperlink r:id="rId167" w:history="1">
              <w:r w:rsidR="0025591A" w:rsidRPr="00EE01B4">
                <w:rPr>
                  <w:rStyle w:val="Hyperlink"/>
                  <w:sz w:val="20"/>
                  <w:szCs w:val="20"/>
                  <w:lang w:val="en-GB"/>
                </w:rPr>
                <w:t>A Guide to Developing Biodiversity Action Plans for the Oil and Gas Sector</w:t>
              </w:r>
            </w:hyperlink>
          </w:p>
        </w:tc>
        <w:tc>
          <w:tcPr>
            <w:tcW w:w="2168" w:type="dxa"/>
          </w:tcPr>
          <w:p w:rsidR="0025591A" w:rsidRPr="00EE01B4" w:rsidRDefault="0025591A" w:rsidP="00B5352E">
            <w:pPr>
              <w:rPr>
                <w:rFonts w:cs="Arial"/>
                <w:sz w:val="20"/>
                <w:szCs w:val="20"/>
                <w:lang w:val="en-GB"/>
              </w:rPr>
            </w:pPr>
          </w:p>
        </w:tc>
        <w:tc>
          <w:tcPr>
            <w:tcW w:w="2582" w:type="dxa"/>
          </w:tcPr>
          <w:p w:rsidR="0025591A" w:rsidRPr="00EE01B4" w:rsidRDefault="0025591A" w:rsidP="00B5352E">
            <w:pPr>
              <w:rPr>
                <w:rFonts w:cs="Arial"/>
                <w:sz w:val="20"/>
                <w:szCs w:val="20"/>
                <w:lang w:val="en-GB"/>
              </w:rPr>
            </w:pPr>
          </w:p>
        </w:tc>
        <w:tc>
          <w:tcPr>
            <w:tcW w:w="1259" w:type="dxa"/>
          </w:tcPr>
          <w:p w:rsidR="0025591A" w:rsidRPr="00EE01B4" w:rsidRDefault="0025591A" w:rsidP="00B5352E">
            <w:pPr>
              <w:rPr>
                <w:rFonts w:cs="Arial"/>
                <w:sz w:val="20"/>
                <w:szCs w:val="20"/>
                <w:lang w:val="en-GB"/>
              </w:rPr>
            </w:pPr>
          </w:p>
        </w:tc>
        <w:tc>
          <w:tcPr>
            <w:tcW w:w="1259" w:type="dxa"/>
          </w:tcPr>
          <w:p w:rsidR="0025591A" w:rsidRPr="00EE01B4" w:rsidRDefault="0025591A" w:rsidP="00B5352E">
            <w:pPr>
              <w:spacing w:after="40"/>
              <w:rPr>
                <w:sz w:val="20"/>
                <w:szCs w:val="20"/>
                <w:lang w:val="en-GB"/>
              </w:rPr>
            </w:pPr>
          </w:p>
        </w:tc>
        <w:tc>
          <w:tcPr>
            <w:tcW w:w="5293" w:type="dxa"/>
          </w:tcPr>
          <w:p w:rsidR="0025591A" w:rsidRPr="00EE01B4" w:rsidRDefault="0025591A" w:rsidP="00B5352E">
            <w:pPr>
              <w:rPr>
                <w:sz w:val="20"/>
                <w:szCs w:val="20"/>
                <w:lang w:val="fr-FR"/>
              </w:rPr>
            </w:pPr>
            <w:r w:rsidRPr="00EE01B4">
              <w:rPr>
                <w:sz w:val="20"/>
                <w:szCs w:val="20"/>
                <w:lang w:val="fr-FR"/>
              </w:rPr>
              <w:t>IPIECA et OGP</w:t>
            </w:r>
          </w:p>
          <w:p w:rsidR="0025591A" w:rsidRPr="00EE01B4" w:rsidRDefault="0025591A" w:rsidP="00300F36">
            <w:pPr>
              <w:rPr>
                <w:rFonts w:cs="Arial"/>
                <w:sz w:val="20"/>
                <w:szCs w:val="20"/>
                <w:lang w:val="fr-FR"/>
              </w:rPr>
            </w:pPr>
            <w:r w:rsidRPr="00EE01B4">
              <w:rPr>
                <w:rFonts w:cs="Arial"/>
                <w:sz w:val="20"/>
                <w:szCs w:val="20"/>
                <w:u w:val="single"/>
                <w:lang w:val="fr-FR"/>
              </w:rPr>
              <w:t>Résumé</w:t>
            </w:r>
            <w:r w:rsidRPr="00EE01B4">
              <w:rPr>
                <w:rFonts w:cs="Arial"/>
                <w:sz w:val="20"/>
                <w:szCs w:val="20"/>
                <w:lang w:val="fr-FR"/>
              </w:rPr>
              <w:t xml:space="preserve"> : Ce guide </w:t>
            </w:r>
            <w:r w:rsidRPr="00EE01B4">
              <w:rPr>
                <w:sz w:val="20"/>
                <w:szCs w:val="20"/>
                <w:lang w:val="fr-FR"/>
              </w:rPr>
              <w:t>IPIECA est conçu pour aider les professionnels HSE et autres personnels pertinents, c.</w:t>
            </w:r>
            <w:r w:rsidRPr="00EE01B4">
              <w:rPr>
                <w:sz w:val="20"/>
                <w:szCs w:val="20"/>
                <w:lang w:val="fr-FR"/>
              </w:rPr>
              <w:noBreakHyphen/>
              <w:t>à</w:t>
            </w:r>
            <w:r w:rsidRPr="00EE01B4">
              <w:rPr>
                <w:sz w:val="20"/>
                <w:szCs w:val="20"/>
                <w:lang w:val="fr-FR"/>
              </w:rPr>
              <w:noBreakHyphen/>
              <w:t>d. ceux qui participent à la planification des projets, dans l’industrie pétrolière et gazière, à élaborer des Plans d’action pour la biodiversité (PAB) pour leurs sites et projets. Les PAB constituent une approche systématique de la conservation de la biodiversité qui peut servir de base et être intégrée à des activités et processus d’entreprise existants dans le cadre du cycle de vie des projets pétroliers et gaziers… Les orientations sont axées sur les processus généraux recommandés pour la préparation et l’application d’un PAB...</w:t>
            </w:r>
          </w:p>
        </w:tc>
      </w:tr>
      <w:tr w:rsidR="0025591A" w:rsidRPr="00EE01B4" w:rsidTr="004D1A4F">
        <w:tblPrEx>
          <w:tblBorders>
            <w:bottom w:val="single" w:sz="4" w:space="0" w:color="auto"/>
            <w:insideH w:val="single" w:sz="4" w:space="0" w:color="auto"/>
            <w:insideV w:val="single" w:sz="4" w:space="0" w:color="auto"/>
          </w:tblBorders>
        </w:tblPrEx>
        <w:tc>
          <w:tcPr>
            <w:tcW w:w="3053" w:type="dxa"/>
          </w:tcPr>
          <w:p w:rsidR="0025591A" w:rsidRPr="00EE01B4" w:rsidRDefault="00DF180B" w:rsidP="00B5352E">
            <w:pPr>
              <w:spacing w:after="40"/>
              <w:rPr>
                <w:color w:val="0000FF" w:themeColor="hyperlink"/>
                <w:sz w:val="20"/>
                <w:szCs w:val="20"/>
                <w:u w:val="single"/>
                <w:lang w:val="fr-FR"/>
              </w:rPr>
            </w:pPr>
            <w:hyperlink r:id="rId168" w:history="1">
              <w:proofErr w:type="spellStart"/>
              <w:r w:rsidR="0025591A" w:rsidRPr="00EE01B4">
                <w:rPr>
                  <w:rStyle w:val="Hyperlink"/>
                  <w:sz w:val="20"/>
                  <w:szCs w:val="20"/>
                  <w:lang w:val="fr-FR"/>
                </w:rPr>
                <w:t>Biodiversity</w:t>
              </w:r>
              <w:proofErr w:type="spellEnd"/>
              <w:r w:rsidR="0025591A" w:rsidRPr="00EE01B4">
                <w:rPr>
                  <w:rStyle w:val="Hyperlink"/>
                  <w:sz w:val="20"/>
                  <w:szCs w:val="20"/>
                  <w:lang w:val="fr-FR"/>
                </w:rPr>
                <w:t xml:space="preserve"> Offset Design </w:t>
              </w:r>
              <w:proofErr w:type="spellStart"/>
              <w:r w:rsidR="0025591A" w:rsidRPr="00EE01B4">
                <w:rPr>
                  <w:rStyle w:val="Hyperlink"/>
                  <w:sz w:val="20"/>
                  <w:szCs w:val="20"/>
                  <w:lang w:val="fr-FR"/>
                </w:rPr>
                <w:t>Handbook</w:t>
              </w:r>
              <w:proofErr w:type="spellEnd"/>
            </w:hyperlink>
          </w:p>
        </w:tc>
        <w:tc>
          <w:tcPr>
            <w:tcW w:w="2168" w:type="dxa"/>
          </w:tcPr>
          <w:p w:rsidR="0025591A" w:rsidRPr="00EE01B4" w:rsidRDefault="0025591A" w:rsidP="00B5352E">
            <w:pPr>
              <w:rPr>
                <w:rFonts w:cs="Arial"/>
                <w:sz w:val="20"/>
                <w:szCs w:val="20"/>
                <w:lang w:val="fr-FR"/>
              </w:rPr>
            </w:pPr>
          </w:p>
        </w:tc>
        <w:tc>
          <w:tcPr>
            <w:tcW w:w="2582" w:type="dxa"/>
          </w:tcPr>
          <w:p w:rsidR="0025591A" w:rsidRPr="00EE01B4" w:rsidRDefault="0025591A" w:rsidP="00B5352E">
            <w:pPr>
              <w:rPr>
                <w:rFonts w:cs="Arial"/>
                <w:sz w:val="20"/>
                <w:szCs w:val="20"/>
                <w:lang w:val="fr-FR"/>
              </w:rPr>
            </w:pPr>
          </w:p>
        </w:tc>
        <w:tc>
          <w:tcPr>
            <w:tcW w:w="1259" w:type="dxa"/>
          </w:tcPr>
          <w:p w:rsidR="0025591A" w:rsidRPr="00EE01B4" w:rsidRDefault="0025591A" w:rsidP="00B5352E">
            <w:pPr>
              <w:rPr>
                <w:rFonts w:cs="Arial"/>
                <w:sz w:val="20"/>
                <w:szCs w:val="20"/>
                <w:lang w:val="fr-FR"/>
              </w:rPr>
            </w:pPr>
          </w:p>
        </w:tc>
        <w:tc>
          <w:tcPr>
            <w:tcW w:w="1259" w:type="dxa"/>
          </w:tcPr>
          <w:p w:rsidR="0025591A" w:rsidRPr="00EE01B4" w:rsidRDefault="0025591A" w:rsidP="00B5352E">
            <w:pPr>
              <w:spacing w:after="40"/>
              <w:rPr>
                <w:sz w:val="20"/>
                <w:szCs w:val="20"/>
                <w:lang w:val="fr-FR"/>
              </w:rPr>
            </w:pPr>
            <w:r w:rsidRPr="00EE01B4">
              <w:rPr>
                <w:sz w:val="20"/>
                <w:szCs w:val="20"/>
                <w:lang w:val="fr-FR"/>
              </w:rPr>
              <w:t>E</w:t>
            </w:r>
          </w:p>
        </w:tc>
        <w:tc>
          <w:tcPr>
            <w:tcW w:w="5293" w:type="dxa"/>
          </w:tcPr>
          <w:p w:rsidR="0025591A" w:rsidRPr="00EE01B4" w:rsidRDefault="0025591A" w:rsidP="00B5352E">
            <w:pPr>
              <w:rPr>
                <w:sz w:val="20"/>
                <w:szCs w:val="20"/>
                <w:lang w:val="fr-FR"/>
              </w:rPr>
            </w:pPr>
            <w:r w:rsidRPr="00EE01B4">
              <w:rPr>
                <w:sz w:val="20"/>
                <w:szCs w:val="20"/>
                <w:lang w:val="fr-FR"/>
              </w:rPr>
              <w:t xml:space="preserve">Business and </w:t>
            </w:r>
            <w:proofErr w:type="spellStart"/>
            <w:r w:rsidRPr="00EE01B4">
              <w:rPr>
                <w:sz w:val="20"/>
                <w:szCs w:val="20"/>
                <w:lang w:val="fr-FR"/>
              </w:rPr>
              <w:t>Biodiversity</w:t>
            </w:r>
            <w:proofErr w:type="spellEnd"/>
            <w:r w:rsidRPr="00EE01B4">
              <w:rPr>
                <w:sz w:val="20"/>
                <w:szCs w:val="20"/>
                <w:lang w:val="fr-FR"/>
              </w:rPr>
              <w:t xml:space="preserve"> Offsets Programme</w:t>
            </w:r>
          </w:p>
          <w:p w:rsidR="0025591A" w:rsidRPr="00EE01B4" w:rsidRDefault="0025591A" w:rsidP="002927AC">
            <w:pPr>
              <w:rPr>
                <w:rFonts w:cs="Arial"/>
                <w:sz w:val="20"/>
                <w:szCs w:val="20"/>
                <w:lang w:val="fr-FR"/>
              </w:rPr>
            </w:pPr>
            <w:r w:rsidRPr="00EE01B4">
              <w:rPr>
                <w:rFonts w:cs="Arial"/>
                <w:sz w:val="20"/>
                <w:szCs w:val="20"/>
                <w:u w:val="single"/>
                <w:lang w:val="fr-FR"/>
              </w:rPr>
              <w:t>Résumé</w:t>
            </w:r>
            <w:r w:rsidRPr="00EE01B4">
              <w:rPr>
                <w:rFonts w:cs="Arial"/>
                <w:sz w:val="20"/>
                <w:szCs w:val="20"/>
                <w:lang w:val="fr-FR"/>
              </w:rPr>
              <w:t xml:space="preserve"> : Le Manuel propose des solutions sur la manière de concevoir une compensation pour la biodiversité et des informations sur toute une gamme d’approches et de méthodologies qui ont été élaborées pour ou peuvent être adaptées à la conception de compensations pour la </w:t>
            </w:r>
            <w:r w:rsidRPr="00EE01B4">
              <w:rPr>
                <w:rFonts w:cs="Arial"/>
                <w:sz w:val="20"/>
                <w:szCs w:val="20"/>
                <w:lang w:val="fr-FR"/>
              </w:rPr>
              <w:lastRenderedPageBreak/>
              <w:t xml:space="preserve">biodiversité. </w:t>
            </w:r>
            <w:r w:rsidRPr="00EE01B4">
              <w:rPr>
                <w:sz w:val="20"/>
                <w:szCs w:val="20"/>
                <w:lang w:val="fr-FR"/>
              </w:rPr>
              <w:t xml:space="preserve">Il souligne aussi les principales considérations et les principaux problèmes auxquels les planificateurs et autres acteurs pourraient être confrontés lorsqu’ils examinent si une </w:t>
            </w:r>
            <w:r w:rsidRPr="00EE01B4">
              <w:rPr>
                <w:rFonts w:cs="Arial"/>
                <w:sz w:val="20"/>
                <w:szCs w:val="20"/>
                <w:lang w:val="fr-FR"/>
              </w:rPr>
              <w:t>compensation pour la</w:t>
            </w:r>
            <w:r w:rsidRPr="00EE01B4">
              <w:rPr>
                <w:sz w:val="20"/>
                <w:szCs w:val="20"/>
                <w:lang w:val="fr-FR"/>
              </w:rPr>
              <w:t xml:space="preserve"> biodiversité est une approche appropriée pour un projet de développement particulier et, si c’est le cas, le meilleur concept de </w:t>
            </w:r>
            <w:r w:rsidRPr="00EE01B4">
              <w:rPr>
                <w:rFonts w:cs="Arial"/>
                <w:sz w:val="20"/>
                <w:szCs w:val="20"/>
                <w:lang w:val="fr-FR"/>
              </w:rPr>
              <w:t xml:space="preserve">compensation pour </w:t>
            </w:r>
            <w:r w:rsidRPr="00EE01B4">
              <w:rPr>
                <w:sz w:val="20"/>
                <w:szCs w:val="20"/>
                <w:lang w:val="fr-FR"/>
              </w:rPr>
              <w:t xml:space="preserve">les circonstances concernées.  </w:t>
            </w:r>
          </w:p>
        </w:tc>
      </w:tr>
      <w:tr w:rsidR="0025591A" w:rsidRPr="00EE01B4" w:rsidTr="004D1A4F">
        <w:tblPrEx>
          <w:tblBorders>
            <w:bottom w:val="single" w:sz="4" w:space="0" w:color="auto"/>
            <w:insideH w:val="single" w:sz="4" w:space="0" w:color="auto"/>
            <w:insideV w:val="single" w:sz="4" w:space="0" w:color="auto"/>
          </w:tblBorders>
        </w:tblPrEx>
        <w:tc>
          <w:tcPr>
            <w:tcW w:w="3053" w:type="dxa"/>
          </w:tcPr>
          <w:p w:rsidR="0025591A" w:rsidRPr="00EE01B4" w:rsidRDefault="00DF180B" w:rsidP="00B5352E">
            <w:pPr>
              <w:spacing w:after="40"/>
              <w:rPr>
                <w:color w:val="0000FF" w:themeColor="hyperlink"/>
                <w:sz w:val="20"/>
                <w:szCs w:val="20"/>
                <w:u w:val="single"/>
                <w:lang w:val="en-GB"/>
              </w:rPr>
            </w:pPr>
            <w:hyperlink r:id="rId169" w:history="1">
              <w:r w:rsidR="0025591A" w:rsidRPr="00EE01B4">
                <w:rPr>
                  <w:rStyle w:val="Hyperlink"/>
                  <w:sz w:val="20"/>
                  <w:szCs w:val="20"/>
                  <w:lang w:val="en-GB"/>
                </w:rPr>
                <w:t>Achieving Conservation And Development: 10 Principles for Applying the Mitigation Hierarchy</w:t>
              </w:r>
            </w:hyperlink>
          </w:p>
        </w:tc>
        <w:tc>
          <w:tcPr>
            <w:tcW w:w="2168" w:type="dxa"/>
          </w:tcPr>
          <w:p w:rsidR="0025591A" w:rsidRPr="00EE01B4" w:rsidRDefault="0025591A" w:rsidP="00B5352E">
            <w:pPr>
              <w:rPr>
                <w:rFonts w:cs="Arial"/>
                <w:sz w:val="20"/>
                <w:szCs w:val="20"/>
                <w:lang w:val="en-GB"/>
              </w:rPr>
            </w:pPr>
          </w:p>
        </w:tc>
        <w:tc>
          <w:tcPr>
            <w:tcW w:w="2582" w:type="dxa"/>
          </w:tcPr>
          <w:p w:rsidR="0025591A" w:rsidRPr="00EE01B4" w:rsidRDefault="0025591A" w:rsidP="00B5352E">
            <w:pPr>
              <w:rPr>
                <w:rFonts w:cs="Arial"/>
                <w:sz w:val="20"/>
                <w:szCs w:val="20"/>
                <w:lang w:val="en-GB"/>
              </w:rPr>
            </w:pPr>
          </w:p>
        </w:tc>
        <w:tc>
          <w:tcPr>
            <w:tcW w:w="1259" w:type="dxa"/>
          </w:tcPr>
          <w:p w:rsidR="0025591A" w:rsidRPr="00EE01B4" w:rsidRDefault="0025591A" w:rsidP="00B5352E">
            <w:pPr>
              <w:rPr>
                <w:rFonts w:cs="Arial"/>
                <w:sz w:val="20"/>
                <w:szCs w:val="20"/>
                <w:lang w:val="en-GB"/>
              </w:rPr>
            </w:pPr>
          </w:p>
        </w:tc>
        <w:tc>
          <w:tcPr>
            <w:tcW w:w="1259" w:type="dxa"/>
          </w:tcPr>
          <w:p w:rsidR="0025591A" w:rsidRPr="00EE01B4" w:rsidRDefault="0025591A" w:rsidP="00B5352E">
            <w:pPr>
              <w:spacing w:after="40"/>
              <w:rPr>
                <w:sz w:val="20"/>
                <w:szCs w:val="20"/>
                <w:lang w:val="fr-FR"/>
              </w:rPr>
            </w:pPr>
            <w:r w:rsidRPr="00EE01B4">
              <w:rPr>
                <w:sz w:val="20"/>
                <w:szCs w:val="20"/>
                <w:lang w:val="fr-FR"/>
              </w:rPr>
              <w:t>ES</w:t>
            </w:r>
          </w:p>
        </w:tc>
        <w:tc>
          <w:tcPr>
            <w:tcW w:w="5293" w:type="dxa"/>
          </w:tcPr>
          <w:p w:rsidR="0025591A" w:rsidRPr="00EE01B4" w:rsidRDefault="0025591A" w:rsidP="00B5352E">
            <w:pPr>
              <w:rPr>
                <w:sz w:val="20"/>
                <w:szCs w:val="20"/>
                <w:lang w:val="fr-FR"/>
              </w:rPr>
            </w:pPr>
            <w:r w:rsidRPr="00EE01B4">
              <w:rPr>
                <w:sz w:val="20"/>
                <w:szCs w:val="20"/>
                <w:lang w:val="fr-FR"/>
              </w:rPr>
              <w:t xml:space="preserve">The Nature </w:t>
            </w:r>
            <w:proofErr w:type="spellStart"/>
            <w:r w:rsidRPr="00EE01B4">
              <w:rPr>
                <w:sz w:val="20"/>
                <w:szCs w:val="20"/>
                <w:lang w:val="fr-FR"/>
              </w:rPr>
              <w:t>Conservancy</w:t>
            </w:r>
            <w:proofErr w:type="spellEnd"/>
          </w:p>
          <w:p w:rsidR="0025591A" w:rsidRPr="00EE01B4" w:rsidRDefault="0025591A" w:rsidP="004125FC">
            <w:pPr>
              <w:rPr>
                <w:rFonts w:cs="Arial"/>
                <w:sz w:val="20"/>
                <w:szCs w:val="20"/>
                <w:lang w:val="fr-FR"/>
              </w:rPr>
            </w:pPr>
            <w:r w:rsidRPr="00EE01B4">
              <w:rPr>
                <w:rFonts w:cs="Arial"/>
                <w:sz w:val="20"/>
                <w:szCs w:val="20"/>
                <w:u w:val="single"/>
                <w:lang w:val="fr-FR"/>
              </w:rPr>
              <w:t>Résumé</w:t>
            </w:r>
            <w:r w:rsidRPr="00EE01B4">
              <w:rPr>
                <w:rFonts w:cs="Arial"/>
                <w:sz w:val="20"/>
                <w:szCs w:val="20"/>
                <w:lang w:val="fr-FR"/>
              </w:rPr>
              <w:t xml:space="preserve"> : Améliorer les politiques et la pratique d’atténuation – comment éviter, minimiser et compenser les impacts environnementaux sur les terres et l’eau – est un des meilleurs moyens de réussir le développement durable et les objectifs de la conservation… Ce document résume 10 principes clés pour appliquer la hiérarchie de l’atténuation – éviter, minimiser et compenser… – et a pour objet de guider l’approche de The Nature </w:t>
            </w:r>
            <w:proofErr w:type="spellStart"/>
            <w:r w:rsidRPr="00EE01B4">
              <w:rPr>
                <w:rFonts w:cs="Arial"/>
                <w:sz w:val="20"/>
                <w:szCs w:val="20"/>
                <w:lang w:val="fr-FR"/>
              </w:rPr>
              <w:t>Conservancy</w:t>
            </w:r>
            <w:proofErr w:type="spellEnd"/>
            <w:r w:rsidRPr="00EE01B4">
              <w:rPr>
                <w:rFonts w:cs="Arial"/>
                <w:sz w:val="20"/>
                <w:szCs w:val="20"/>
                <w:lang w:val="fr-FR"/>
              </w:rPr>
              <w:t xml:space="preserve"> et ses engagements relatifs à l’atténuation. </w:t>
            </w:r>
          </w:p>
        </w:tc>
      </w:tr>
      <w:tr w:rsidR="0025591A" w:rsidRPr="00EE01B4" w:rsidTr="004D1A4F">
        <w:tblPrEx>
          <w:tblBorders>
            <w:bottom w:val="single" w:sz="4" w:space="0" w:color="auto"/>
            <w:insideH w:val="single" w:sz="4" w:space="0" w:color="auto"/>
            <w:insideV w:val="single" w:sz="4" w:space="0" w:color="auto"/>
          </w:tblBorders>
        </w:tblPrEx>
        <w:tc>
          <w:tcPr>
            <w:tcW w:w="3053" w:type="dxa"/>
          </w:tcPr>
          <w:p w:rsidR="0025591A" w:rsidRPr="00EE01B4" w:rsidRDefault="00DF180B" w:rsidP="00B5352E">
            <w:pPr>
              <w:spacing w:after="40"/>
              <w:rPr>
                <w:color w:val="0000FF" w:themeColor="hyperlink"/>
                <w:sz w:val="20"/>
                <w:szCs w:val="20"/>
                <w:u w:val="single"/>
                <w:lang w:val="en-GB"/>
              </w:rPr>
            </w:pPr>
            <w:hyperlink r:id="rId170" w:history="1">
              <w:r w:rsidR="0025591A" w:rsidRPr="00EE01B4">
                <w:rPr>
                  <w:rStyle w:val="Hyperlink"/>
                  <w:sz w:val="20"/>
                  <w:szCs w:val="20"/>
                  <w:lang w:val="en-GB"/>
                </w:rPr>
                <w:t>Biodiversity Offsets: Effective Design and Implementation</w:t>
              </w:r>
            </w:hyperlink>
          </w:p>
        </w:tc>
        <w:tc>
          <w:tcPr>
            <w:tcW w:w="2168" w:type="dxa"/>
          </w:tcPr>
          <w:p w:rsidR="0025591A" w:rsidRPr="00EE01B4" w:rsidRDefault="0025591A" w:rsidP="00B5352E">
            <w:pPr>
              <w:rPr>
                <w:rFonts w:cs="Arial"/>
                <w:sz w:val="20"/>
                <w:szCs w:val="20"/>
                <w:lang w:val="en-GB"/>
              </w:rPr>
            </w:pPr>
          </w:p>
        </w:tc>
        <w:tc>
          <w:tcPr>
            <w:tcW w:w="2582" w:type="dxa"/>
          </w:tcPr>
          <w:p w:rsidR="0025591A" w:rsidRPr="00EE01B4" w:rsidRDefault="0025591A" w:rsidP="00B5352E">
            <w:pPr>
              <w:rPr>
                <w:rFonts w:cs="Arial"/>
                <w:sz w:val="20"/>
                <w:szCs w:val="20"/>
                <w:lang w:val="en-GB"/>
              </w:rPr>
            </w:pPr>
          </w:p>
        </w:tc>
        <w:tc>
          <w:tcPr>
            <w:tcW w:w="1259" w:type="dxa"/>
          </w:tcPr>
          <w:p w:rsidR="0025591A" w:rsidRPr="00EE01B4" w:rsidRDefault="0025591A" w:rsidP="00B5352E">
            <w:pPr>
              <w:rPr>
                <w:rFonts w:cs="Arial"/>
                <w:sz w:val="20"/>
                <w:szCs w:val="20"/>
                <w:lang w:val="en-GB"/>
              </w:rPr>
            </w:pPr>
          </w:p>
        </w:tc>
        <w:tc>
          <w:tcPr>
            <w:tcW w:w="1259" w:type="dxa"/>
          </w:tcPr>
          <w:p w:rsidR="0025591A" w:rsidRPr="00EE01B4" w:rsidRDefault="0025591A" w:rsidP="00B5352E">
            <w:pPr>
              <w:spacing w:after="40"/>
              <w:rPr>
                <w:sz w:val="20"/>
                <w:szCs w:val="20"/>
                <w:lang w:val="fr-FR"/>
              </w:rPr>
            </w:pPr>
            <w:r w:rsidRPr="00EE01B4">
              <w:rPr>
                <w:sz w:val="20"/>
                <w:szCs w:val="20"/>
                <w:lang w:val="fr-FR"/>
              </w:rPr>
              <w:t>E</w:t>
            </w:r>
          </w:p>
        </w:tc>
        <w:tc>
          <w:tcPr>
            <w:tcW w:w="5293" w:type="dxa"/>
          </w:tcPr>
          <w:p w:rsidR="0025591A" w:rsidRPr="00EE01B4" w:rsidRDefault="0025591A" w:rsidP="00B5352E">
            <w:pPr>
              <w:rPr>
                <w:sz w:val="20"/>
                <w:szCs w:val="20"/>
                <w:lang w:val="fr-FR"/>
              </w:rPr>
            </w:pPr>
            <w:r w:rsidRPr="00EE01B4">
              <w:rPr>
                <w:sz w:val="20"/>
                <w:szCs w:val="20"/>
                <w:lang w:val="fr-FR"/>
              </w:rPr>
              <w:t>OCDE</w:t>
            </w:r>
          </w:p>
          <w:p w:rsidR="0025591A" w:rsidRPr="00EE01B4" w:rsidRDefault="0025591A" w:rsidP="002927AC">
            <w:pPr>
              <w:rPr>
                <w:rFonts w:cs="Arial"/>
                <w:sz w:val="20"/>
                <w:szCs w:val="20"/>
                <w:lang w:val="fr-FR"/>
              </w:rPr>
            </w:pPr>
            <w:r w:rsidRPr="00EE01B4">
              <w:rPr>
                <w:rFonts w:cs="Arial"/>
                <w:sz w:val="20"/>
                <w:szCs w:val="20"/>
                <w:u w:val="single"/>
                <w:lang w:val="fr-FR"/>
              </w:rPr>
              <w:t>Résumé</w:t>
            </w:r>
            <w:r w:rsidRPr="00EE01B4">
              <w:rPr>
                <w:rFonts w:cs="Arial"/>
                <w:sz w:val="20"/>
                <w:szCs w:val="20"/>
                <w:lang w:val="fr-FR"/>
              </w:rPr>
              <w:t> : Une publication OCDE (</w:t>
            </w:r>
            <w:r w:rsidRPr="00EE01B4">
              <w:rPr>
                <w:sz w:val="20"/>
                <w:szCs w:val="20"/>
                <w:lang w:val="fr-FR"/>
              </w:rPr>
              <w:t xml:space="preserve">2014) </w:t>
            </w:r>
            <w:proofErr w:type="spellStart"/>
            <w:r w:rsidRPr="00EE01B4">
              <w:rPr>
                <w:i/>
                <w:sz w:val="20"/>
                <w:szCs w:val="20"/>
                <w:lang w:val="fr-FR"/>
              </w:rPr>
              <w:t>Biodiversity</w:t>
            </w:r>
            <w:proofErr w:type="spellEnd"/>
            <w:r w:rsidRPr="00EE01B4">
              <w:rPr>
                <w:i/>
                <w:sz w:val="20"/>
                <w:szCs w:val="20"/>
                <w:lang w:val="fr-FR"/>
              </w:rPr>
              <w:t xml:space="preserve"> Offsets: Effective Design and </w:t>
            </w:r>
            <w:proofErr w:type="spellStart"/>
            <w:r w:rsidRPr="00EE01B4">
              <w:rPr>
                <w:i/>
                <w:sz w:val="20"/>
                <w:szCs w:val="20"/>
                <w:lang w:val="fr-FR"/>
              </w:rPr>
              <w:t>Implementation</w:t>
            </w:r>
            <w:proofErr w:type="spellEnd"/>
            <w:r w:rsidRPr="00EE01B4">
              <w:rPr>
                <w:sz w:val="20"/>
                <w:szCs w:val="20"/>
                <w:lang w:val="fr-FR"/>
              </w:rPr>
              <w:t xml:space="preserve"> examine le rôle des compensations pour la biodiversité dans les politiques pour la conservation et l’utilisation durable de la biodiversité. Cette brochure met en évidence certaines des conclusions clés de cette publication… La publication traite des questions suivantes : Quelles sont les compensations pour la biodiversité et comment s’inscrivent-elles dans le cadre plus général de ‘pas de perte nette’ et la hiérarchie d’atténuation? Quelles sont les caractéristiques clés </w:t>
            </w:r>
            <w:proofErr w:type="spellStart"/>
            <w:r w:rsidRPr="00EE01B4">
              <w:rPr>
                <w:sz w:val="20"/>
                <w:szCs w:val="20"/>
                <w:lang w:val="fr-FR"/>
              </w:rPr>
              <w:t>àenvisager</w:t>
            </w:r>
            <w:proofErr w:type="spellEnd"/>
            <w:r w:rsidRPr="00EE01B4">
              <w:rPr>
                <w:sz w:val="20"/>
                <w:szCs w:val="20"/>
                <w:lang w:val="fr-FR"/>
              </w:rPr>
              <w:t xml:space="preserve"> en matière de conception et d’application pour garantir que les compensations sont efficaces pour l’environnement, rentables sur le plan économique et équitables du point de vue de la répartition? Quelles leçons ont été apprises des programmes de compensation de la biodiversité existants et quelles sont les bonnes réflexions pratiques concernant leur amélioration?</w:t>
            </w:r>
          </w:p>
        </w:tc>
      </w:tr>
      <w:tr w:rsidR="0025591A" w:rsidRPr="00EE01B4" w:rsidTr="004D1A4F">
        <w:tblPrEx>
          <w:tblBorders>
            <w:bottom w:val="single" w:sz="4" w:space="0" w:color="auto"/>
            <w:insideH w:val="single" w:sz="4" w:space="0" w:color="auto"/>
            <w:insideV w:val="single" w:sz="4" w:space="0" w:color="auto"/>
          </w:tblBorders>
        </w:tblPrEx>
        <w:tc>
          <w:tcPr>
            <w:tcW w:w="3053" w:type="dxa"/>
          </w:tcPr>
          <w:p w:rsidR="0025591A" w:rsidRPr="00EE01B4" w:rsidRDefault="00DF180B" w:rsidP="00B5352E">
            <w:pPr>
              <w:spacing w:after="40"/>
              <w:rPr>
                <w:color w:val="0000FF" w:themeColor="hyperlink"/>
                <w:sz w:val="20"/>
                <w:szCs w:val="20"/>
                <w:u w:val="single"/>
                <w:lang w:val="en-GB"/>
              </w:rPr>
            </w:pPr>
            <w:hyperlink r:id="rId171" w:history="1">
              <w:r w:rsidR="0025591A" w:rsidRPr="00EE01B4">
                <w:rPr>
                  <w:rStyle w:val="Hyperlink"/>
                  <w:sz w:val="20"/>
                  <w:szCs w:val="20"/>
                  <w:lang w:val="en-GB"/>
                </w:rPr>
                <w:t xml:space="preserve">Scoping agriculture-wetlands interactions: Towards a sustainable multi-response </w:t>
              </w:r>
              <w:r w:rsidR="0025591A" w:rsidRPr="00EE01B4">
                <w:rPr>
                  <w:rStyle w:val="Hyperlink"/>
                  <w:sz w:val="20"/>
                  <w:szCs w:val="20"/>
                  <w:lang w:val="en-GB"/>
                </w:rPr>
                <w:lastRenderedPageBreak/>
                <w:t>strategy</w:t>
              </w:r>
            </w:hyperlink>
          </w:p>
        </w:tc>
        <w:tc>
          <w:tcPr>
            <w:tcW w:w="2168" w:type="dxa"/>
          </w:tcPr>
          <w:p w:rsidR="0025591A" w:rsidRPr="00EE01B4" w:rsidRDefault="0025591A" w:rsidP="00B5352E">
            <w:pPr>
              <w:rPr>
                <w:rFonts w:cs="Arial"/>
                <w:sz w:val="20"/>
                <w:szCs w:val="20"/>
                <w:lang w:val="en-GB"/>
              </w:rPr>
            </w:pPr>
          </w:p>
        </w:tc>
        <w:tc>
          <w:tcPr>
            <w:tcW w:w="2582" w:type="dxa"/>
          </w:tcPr>
          <w:p w:rsidR="0025591A" w:rsidRPr="00EE01B4" w:rsidRDefault="0025591A" w:rsidP="00B5352E">
            <w:pPr>
              <w:rPr>
                <w:rFonts w:cs="Arial"/>
                <w:sz w:val="20"/>
                <w:szCs w:val="20"/>
                <w:lang w:val="en-GB"/>
              </w:rPr>
            </w:pPr>
          </w:p>
        </w:tc>
        <w:tc>
          <w:tcPr>
            <w:tcW w:w="1259" w:type="dxa"/>
          </w:tcPr>
          <w:p w:rsidR="0025591A" w:rsidRPr="00EE01B4" w:rsidRDefault="0025591A" w:rsidP="00B5352E">
            <w:pPr>
              <w:rPr>
                <w:rFonts w:cs="Arial"/>
                <w:sz w:val="20"/>
                <w:szCs w:val="20"/>
                <w:lang w:val="en-GB"/>
              </w:rPr>
            </w:pPr>
          </w:p>
        </w:tc>
        <w:tc>
          <w:tcPr>
            <w:tcW w:w="1259" w:type="dxa"/>
          </w:tcPr>
          <w:p w:rsidR="0025591A" w:rsidRPr="00EE01B4" w:rsidRDefault="0025591A" w:rsidP="00B5352E">
            <w:pPr>
              <w:spacing w:after="40"/>
              <w:rPr>
                <w:sz w:val="20"/>
                <w:szCs w:val="20"/>
                <w:lang w:val="en-GB"/>
              </w:rPr>
            </w:pPr>
          </w:p>
        </w:tc>
        <w:tc>
          <w:tcPr>
            <w:tcW w:w="5293" w:type="dxa"/>
          </w:tcPr>
          <w:p w:rsidR="0025591A" w:rsidRPr="00EE01B4" w:rsidRDefault="0025591A" w:rsidP="00B5352E">
            <w:pPr>
              <w:rPr>
                <w:sz w:val="20"/>
                <w:szCs w:val="20"/>
                <w:lang w:val="fr-FR"/>
              </w:rPr>
            </w:pPr>
            <w:r w:rsidRPr="00EE01B4">
              <w:rPr>
                <w:sz w:val="20"/>
                <w:szCs w:val="20"/>
                <w:lang w:val="fr-FR"/>
              </w:rPr>
              <w:t>Ramsar et FAO</w:t>
            </w:r>
          </w:p>
          <w:p w:rsidR="0025591A" w:rsidRPr="00EE01B4" w:rsidRDefault="0025591A" w:rsidP="004125FC">
            <w:pPr>
              <w:rPr>
                <w:rFonts w:cs="Arial"/>
                <w:sz w:val="20"/>
                <w:szCs w:val="20"/>
                <w:lang w:val="fr-FR"/>
              </w:rPr>
            </w:pPr>
            <w:r w:rsidRPr="00EE01B4">
              <w:rPr>
                <w:rFonts w:cs="Arial"/>
                <w:sz w:val="20"/>
                <w:szCs w:val="20"/>
                <w:u w:val="single"/>
                <w:lang w:val="fr-FR"/>
              </w:rPr>
              <w:t>Résumé</w:t>
            </w:r>
            <w:r w:rsidRPr="00EE01B4">
              <w:rPr>
                <w:rFonts w:cs="Arial"/>
                <w:sz w:val="20"/>
                <w:szCs w:val="20"/>
                <w:lang w:val="fr-FR"/>
              </w:rPr>
              <w:t xml:space="preserve"> : Ce rapport explore la nature des interactions agriculture-zones humides dans le cadre </w:t>
            </w:r>
            <w:r w:rsidRPr="00EE01B4">
              <w:rPr>
                <w:sz w:val="20"/>
                <w:szCs w:val="20"/>
                <w:lang w:val="fr-FR"/>
              </w:rPr>
              <w:t xml:space="preserve">de moteurs, </w:t>
            </w:r>
            <w:r w:rsidRPr="00EE01B4">
              <w:rPr>
                <w:sz w:val="20"/>
                <w:szCs w:val="20"/>
                <w:lang w:val="fr-FR"/>
              </w:rPr>
              <w:lastRenderedPageBreak/>
              <w:t xml:space="preserve">pressions, changements d’état, impacts et réponses pour 90 cas du monde entier. L’analyse s’inscrit dans le contexte d’une étude de la littérature et d’une conceptualisation des interactions agriculture-zones humides.  </w:t>
            </w:r>
          </w:p>
        </w:tc>
      </w:tr>
      <w:tr w:rsidR="0025591A" w:rsidRPr="00EE01B4" w:rsidTr="004D1A4F">
        <w:tblPrEx>
          <w:tblBorders>
            <w:bottom w:val="single" w:sz="4" w:space="0" w:color="auto"/>
            <w:insideH w:val="single" w:sz="4" w:space="0" w:color="auto"/>
            <w:insideV w:val="single" w:sz="4" w:space="0" w:color="auto"/>
          </w:tblBorders>
        </w:tblPrEx>
        <w:tc>
          <w:tcPr>
            <w:tcW w:w="3053" w:type="dxa"/>
          </w:tcPr>
          <w:p w:rsidR="0025591A" w:rsidRPr="00EE01B4" w:rsidRDefault="00DF180B" w:rsidP="00B5352E">
            <w:pPr>
              <w:spacing w:after="40"/>
              <w:rPr>
                <w:color w:val="0000FF" w:themeColor="hyperlink"/>
                <w:sz w:val="20"/>
                <w:szCs w:val="20"/>
                <w:u w:val="single"/>
                <w:lang w:val="en-GB"/>
              </w:rPr>
            </w:pPr>
            <w:hyperlink r:id="rId172" w:history="1">
              <w:r w:rsidR="0025591A" w:rsidRPr="00EE01B4">
                <w:rPr>
                  <w:rStyle w:val="Hyperlink"/>
                  <w:sz w:val="20"/>
                  <w:szCs w:val="20"/>
                  <w:lang w:val="en-GB"/>
                </w:rPr>
                <w:t>Biodiversity and Ecosystem Services Trends and Conditions Assessment Tool</w:t>
              </w:r>
            </w:hyperlink>
          </w:p>
        </w:tc>
        <w:tc>
          <w:tcPr>
            <w:tcW w:w="2168" w:type="dxa"/>
          </w:tcPr>
          <w:p w:rsidR="0025591A" w:rsidRPr="00EE01B4" w:rsidRDefault="0025591A" w:rsidP="00B5352E">
            <w:pPr>
              <w:rPr>
                <w:rFonts w:cs="Arial"/>
                <w:sz w:val="20"/>
                <w:szCs w:val="20"/>
                <w:lang w:val="en-GB"/>
              </w:rPr>
            </w:pPr>
          </w:p>
        </w:tc>
        <w:tc>
          <w:tcPr>
            <w:tcW w:w="2582" w:type="dxa"/>
          </w:tcPr>
          <w:p w:rsidR="0025591A" w:rsidRPr="00EE01B4" w:rsidRDefault="0025591A" w:rsidP="00B5352E">
            <w:pPr>
              <w:rPr>
                <w:rFonts w:cs="Arial"/>
                <w:sz w:val="20"/>
                <w:szCs w:val="20"/>
                <w:lang w:val="en-GB"/>
              </w:rPr>
            </w:pPr>
          </w:p>
        </w:tc>
        <w:tc>
          <w:tcPr>
            <w:tcW w:w="1259" w:type="dxa"/>
          </w:tcPr>
          <w:p w:rsidR="0025591A" w:rsidRPr="00EE01B4" w:rsidRDefault="0025591A" w:rsidP="00B5352E">
            <w:pPr>
              <w:rPr>
                <w:rFonts w:cs="Arial"/>
                <w:sz w:val="20"/>
                <w:szCs w:val="20"/>
                <w:lang w:val="en-GB"/>
              </w:rPr>
            </w:pPr>
          </w:p>
        </w:tc>
        <w:tc>
          <w:tcPr>
            <w:tcW w:w="1259" w:type="dxa"/>
          </w:tcPr>
          <w:p w:rsidR="0025591A" w:rsidRPr="00EE01B4" w:rsidRDefault="0025591A" w:rsidP="00B5352E">
            <w:pPr>
              <w:spacing w:after="40"/>
              <w:rPr>
                <w:sz w:val="20"/>
                <w:szCs w:val="20"/>
                <w:lang w:val="en-GB"/>
              </w:rPr>
            </w:pPr>
          </w:p>
        </w:tc>
        <w:tc>
          <w:tcPr>
            <w:tcW w:w="5293" w:type="dxa"/>
          </w:tcPr>
          <w:p w:rsidR="0025591A" w:rsidRPr="00EE01B4" w:rsidRDefault="0025591A" w:rsidP="00B5352E">
            <w:pPr>
              <w:rPr>
                <w:sz w:val="20"/>
                <w:szCs w:val="20"/>
                <w:lang w:val="fr-FR"/>
              </w:rPr>
            </w:pPr>
            <w:r w:rsidRPr="00EE01B4">
              <w:rPr>
                <w:sz w:val="20"/>
                <w:szCs w:val="20"/>
                <w:lang w:val="fr-FR"/>
              </w:rPr>
              <w:t xml:space="preserve">The Nature </w:t>
            </w:r>
            <w:proofErr w:type="spellStart"/>
            <w:r w:rsidRPr="00EE01B4">
              <w:rPr>
                <w:sz w:val="20"/>
                <w:szCs w:val="20"/>
                <w:lang w:val="fr-FR"/>
              </w:rPr>
              <w:t>Conservancy</w:t>
            </w:r>
            <w:proofErr w:type="spellEnd"/>
          </w:p>
          <w:p w:rsidR="0025591A" w:rsidRPr="00EE01B4" w:rsidRDefault="0025591A" w:rsidP="0073584B">
            <w:pPr>
              <w:rPr>
                <w:rFonts w:cs="Arial"/>
                <w:sz w:val="20"/>
                <w:szCs w:val="20"/>
                <w:lang w:val="fr-FR"/>
              </w:rPr>
            </w:pPr>
            <w:r w:rsidRPr="00EE01B4">
              <w:rPr>
                <w:rFonts w:cs="Arial"/>
                <w:sz w:val="20"/>
                <w:szCs w:val="20"/>
                <w:u w:val="single"/>
                <w:lang w:val="fr-FR"/>
              </w:rPr>
              <w:t>Résumé</w:t>
            </w:r>
            <w:r w:rsidRPr="00EE01B4">
              <w:rPr>
                <w:rFonts w:cs="Arial"/>
                <w:sz w:val="20"/>
                <w:szCs w:val="20"/>
                <w:lang w:val="fr-FR"/>
              </w:rPr>
              <w:t xml:space="preserve"> : </w:t>
            </w:r>
            <w:proofErr w:type="spellStart"/>
            <w:r w:rsidRPr="00EE01B4">
              <w:rPr>
                <w:sz w:val="20"/>
                <w:szCs w:val="20"/>
                <w:lang w:val="fr-FR"/>
              </w:rPr>
              <w:t>BestCat</w:t>
            </w:r>
            <w:proofErr w:type="spellEnd"/>
            <w:r w:rsidRPr="00EE01B4">
              <w:rPr>
                <w:sz w:val="20"/>
                <w:szCs w:val="20"/>
                <w:lang w:val="fr-FR"/>
              </w:rPr>
              <w:t xml:space="preserve"> est une application de cartographie sur internet qui fournit aux entreprises la possibilité de comparer et de mettre en contraste les biens mondiaux d’après les valeurs et conditions des écosystèmes et de la biodiversité associée. Cette application efficace et facile à utiliser donne aux entreprises un ensemble de données préalable, soulignant la biodiversité et les risques pour les services écosystémiques, et identifie rapidement les zones critiques où s’impose une gestion des risques. L’analyse </w:t>
            </w:r>
            <w:proofErr w:type="spellStart"/>
            <w:r w:rsidRPr="00EE01B4">
              <w:rPr>
                <w:sz w:val="20"/>
                <w:szCs w:val="20"/>
                <w:lang w:val="fr-FR"/>
              </w:rPr>
              <w:t>BestCat</w:t>
            </w:r>
            <w:proofErr w:type="spellEnd"/>
            <w:r w:rsidRPr="00EE01B4">
              <w:rPr>
                <w:sz w:val="20"/>
                <w:szCs w:val="20"/>
                <w:lang w:val="fr-FR"/>
              </w:rPr>
              <w:t xml:space="preserve"> sert de base à l’élaboration d’approches rentables d’atténuation des risques en identifiant les zones associées à des risques environnementaux potentiels.</w:t>
            </w:r>
          </w:p>
        </w:tc>
      </w:tr>
      <w:tr w:rsidR="0025591A" w:rsidRPr="00EE01B4" w:rsidTr="004D1A4F">
        <w:tblPrEx>
          <w:tblBorders>
            <w:bottom w:val="single" w:sz="4" w:space="0" w:color="auto"/>
            <w:insideH w:val="single" w:sz="4" w:space="0" w:color="auto"/>
            <w:insideV w:val="single" w:sz="4" w:space="0" w:color="auto"/>
          </w:tblBorders>
        </w:tblPrEx>
        <w:tc>
          <w:tcPr>
            <w:tcW w:w="3053" w:type="dxa"/>
          </w:tcPr>
          <w:p w:rsidR="0025591A" w:rsidRPr="00EE01B4" w:rsidRDefault="00DF180B" w:rsidP="00B5352E">
            <w:pPr>
              <w:spacing w:after="40"/>
              <w:rPr>
                <w:sz w:val="20"/>
                <w:szCs w:val="20"/>
                <w:lang w:val="en-GB"/>
              </w:rPr>
            </w:pPr>
            <w:hyperlink r:id="rId173" w:history="1">
              <w:r w:rsidR="0025591A" w:rsidRPr="00EE01B4">
                <w:rPr>
                  <w:rStyle w:val="Hyperlink"/>
                  <w:sz w:val="20"/>
                  <w:szCs w:val="20"/>
                  <w:lang w:val="en-GB"/>
                </w:rPr>
                <w:t>Facilitating Outcomes: Multi-stakeholder Processes for Influencing Policy Change on Urban Agriculture in Selected West African and South Asian Cities</w:t>
              </w:r>
            </w:hyperlink>
          </w:p>
        </w:tc>
        <w:tc>
          <w:tcPr>
            <w:tcW w:w="2168" w:type="dxa"/>
          </w:tcPr>
          <w:p w:rsidR="0025591A" w:rsidRPr="00EE01B4" w:rsidRDefault="0025591A" w:rsidP="00B5352E">
            <w:pPr>
              <w:rPr>
                <w:rFonts w:cs="Arial"/>
                <w:sz w:val="20"/>
                <w:szCs w:val="20"/>
                <w:lang w:val="en-GB"/>
              </w:rPr>
            </w:pPr>
          </w:p>
        </w:tc>
        <w:tc>
          <w:tcPr>
            <w:tcW w:w="2582" w:type="dxa"/>
          </w:tcPr>
          <w:p w:rsidR="0025591A" w:rsidRPr="00EE01B4" w:rsidRDefault="0025591A" w:rsidP="00B5352E">
            <w:pPr>
              <w:rPr>
                <w:rFonts w:cs="Arial"/>
                <w:sz w:val="20"/>
                <w:szCs w:val="20"/>
                <w:lang w:val="en-GB"/>
              </w:rPr>
            </w:pPr>
          </w:p>
        </w:tc>
        <w:tc>
          <w:tcPr>
            <w:tcW w:w="1259" w:type="dxa"/>
          </w:tcPr>
          <w:p w:rsidR="0025591A" w:rsidRPr="00EE01B4" w:rsidRDefault="0025591A" w:rsidP="00B5352E">
            <w:pPr>
              <w:rPr>
                <w:rFonts w:cs="Arial"/>
                <w:sz w:val="20"/>
                <w:szCs w:val="20"/>
                <w:lang w:val="en-GB"/>
              </w:rPr>
            </w:pPr>
          </w:p>
        </w:tc>
        <w:tc>
          <w:tcPr>
            <w:tcW w:w="1259" w:type="dxa"/>
          </w:tcPr>
          <w:p w:rsidR="0025591A" w:rsidRPr="00EE01B4" w:rsidRDefault="0025591A" w:rsidP="00B5352E">
            <w:pPr>
              <w:spacing w:after="40"/>
              <w:rPr>
                <w:sz w:val="20"/>
                <w:szCs w:val="20"/>
                <w:lang w:val="fr-FR"/>
              </w:rPr>
            </w:pPr>
            <w:r w:rsidRPr="00EE01B4">
              <w:rPr>
                <w:sz w:val="20"/>
                <w:szCs w:val="20"/>
                <w:lang w:val="fr-FR"/>
              </w:rPr>
              <w:t>E</w:t>
            </w:r>
          </w:p>
        </w:tc>
        <w:tc>
          <w:tcPr>
            <w:tcW w:w="5293" w:type="dxa"/>
          </w:tcPr>
          <w:p w:rsidR="0025591A" w:rsidRPr="00EE01B4" w:rsidRDefault="0025591A" w:rsidP="00B5352E">
            <w:pPr>
              <w:rPr>
                <w:rFonts w:cs="Arial"/>
                <w:sz w:val="20"/>
                <w:szCs w:val="20"/>
                <w:lang w:val="fr-FR"/>
              </w:rPr>
            </w:pPr>
            <w:r w:rsidRPr="00EE01B4">
              <w:rPr>
                <w:rStyle w:val="Hyperlink"/>
                <w:color w:val="auto"/>
                <w:sz w:val="20"/>
                <w:szCs w:val="20"/>
                <w:u w:val="none"/>
                <w:lang w:val="fr-FR"/>
              </w:rPr>
              <w:t>IWMI, agriculture</w:t>
            </w:r>
          </w:p>
        </w:tc>
      </w:tr>
    </w:tbl>
    <w:p w:rsidR="007C49C2" w:rsidRPr="00EE01B4" w:rsidRDefault="007C49C2" w:rsidP="00B5352E">
      <w:pPr>
        <w:spacing w:after="0" w:line="240" w:lineRule="auto"/>
        <w:rPr>
          <w:rFonts w:cs="Arial"/>
          <w:lang w:val="fr-FR"/>
        </w:rPr>
      </w:pPr>
    </w:p>
    <w:p w:rsidR="007C49C2" w:rsidRPr="00EE01B4" w:rsidRDefault="007C49C2" w:rsidP="00B5352E">
      <w:pPr>
        <w:spacing w:after="0" w:line="240" w:lineRule="auto"/>
        <w:rPr>
          <w:rFonts w:cs="Arial"/>
          <w:lang w:val="fr-FR"/>
        </w:rPr>
      </w:pPr>
    </w:p>
    <w:tbl>
      <w:tblPr>
        <w:tblStyle w:val="TableGrid"/>
        <w:tblW w:w="0" w:type="auto"/>
        <w:tblBorders>
          <w:bottom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5614"/>
      </w:tblGrid>
      <w:tr w:rsidR="007C49C2" w:rsidRPr="00EE01B4" w:rsidTr="009D62D8">
        <w:tc>
          <w:tcPr>
            <w:tcW w:w="15614" w:type="dxa"/>
            <w:shd w:val="clear" w:color="auto" w:fill="FBD4B4" w:themeFill="accent6" w:themeFillTint="66"/>
          </w:tcPr>
          <w:p w:rsidR="007C49C2" w:rsidRPr="00EE01B4" w:rsidRDefault="009E2D28" w:rsidP="00715C48">
            <w:pPr>
              <w:shd w:val="clear" w:color="auto" w:fill="FBD4B4" w:themeFill="accent6" w:themeFillTint="66"/>
              <w:jc w:val="center"/>
              <w:rPr>
                <w:rFonts w:cs="Arial"/>
                <w:b/>
                <w:sz w:val="20"/>
                <w:szCs w:val="20"/>
                <w:lang w:val="fr-FR"/>
              </w:rPr>
            </w:pPr>
            <w:r w:rsidRPr="00EE01B4">
              <w:rPr>
                <w:rFonts w:cs="Arial"/>
                <w:b/>
                <w:sz w:val="20"/>
                <w:szCs w:val="20"/>
                <w:lang w:val="fr-FR"/>
              </w:rPr>
              <w:t>Domaine de travail thématique n</w:t>
            </w:r>
            <w:r w:rsidRPr="00EE01B4">
              <w:rPr>
                <w:rFonts w:cs="Arial"/>
                <w:b/>
                <w:sz w:val="20"/>
                <w:szCs w:val="20"/>
                <w:vertAlign w:val="superscript"/>
                <w:lang w:val="fr-FR"/>
              </w:rPr>
              <w:t>o</w:t>
            </w:r>
            <w:r w:rsidRPr="00EE01B4">
              <w:rPr>
                <w:rFonts w:cs="Arial"/>
                <w:b/>
                <w:sz w:val="20"/>
                <w:szCs w:val="20"/>
                <w:lang w:val="fr-FR"/>
              </w:rPr>
              <w:t> </w:t>
            </w:r>
            <w:r w:rsidR="00F67B0B" w:rsidRPr="00EE01B4">
              <w:rPr>
                <w:rFonts w:cs="Arial"/>
                <w:b/>
                <w:sz w:val="20"/>
                <w:szCs w:val="20"/>
                <w:lang w:val="fr-FR"/>
              </w:rPr>
              <w:t>5</w:t>
            </w:r>
            <w:r w:rsidRPr="00EE01B4">
              <w:rPr>
                <w:rFonts w:cs="Arial"/>
                <w:b/>
                <w:sz w:val="20"/>
                <w:szCs w:val="20"/>
                <w:lang w:val="fr-FR"/>
              </w:rPr>
              <w:t> </w:t>
            </w:r>
            <w:r w:rsidR="007C49C2" w:rsidRPr="00EE01B4">
              <w:rPr>
                <w:rFonts w:cs="Arial"/>
                <w:b/>
                <w:sz w:val="20"/>
                <w:szCs w:val="20"/>
                <w:lang w:val="fr-FR"/>
              </w:rPr>
              <w:t xml:space="preserve">: </w:t>
            </w:r>
            <w:r w:rsidR="005B2BD3" w:rsidRPr="00EE01B4">
              <w:rPr>
                <w:b/>
                <w:sz w:val="20"/>
                <w:szCs w:val="20"/>
              </w:rPr>
              <w:t>Changements climatiques et zones humides : méthodologies innovantes pour la comptabilité / les évaluations du carbone en rapport avec les zones humides</w:t>
            </w:r>
          </w:p>
        </w:tc>
      </w:tr>
    </w:tbl>
    <w:p w:rsidR="008C4767" w:rsidRPr="00EE01B4" w:rsidRDefault="008C4767" w:rsidP="00715C48">
      <w:pPr>
        <w:shd w:val="clear" w:color="auto" w:fill="FBD4B4" w:themeFill="accent6" w:themeFillTint="66"/>
        <w:rPr>
          <w:rFonts w:cs="Arial"/>
          <w:lang w:val="fr-FR"/>
        </w:rPr>
        <w:sectPr w:rsidR="008C4767" w:rsidRPr="00EE01B4" w:rsidSect="009E2D28">
          <w:headerReference w:type="default" r:id="rId174"/>
          <w:footerReference w:type="default" r:id="rId175"/>
          <w:footnotePr>
            <w:numRestart w:val="eachSect"/>
          </w:footnotePr>
          <w:pgSz w:w="16838" w:h="11906" w:orient="landscape"/>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3051"/>
        <w:gridCol w:w="2168"/>
        <w:gridCol w:w="2581"/>
        <w:gridCol w:w="1259"/>
        <w:gridCol w:w="1259"/>
        <w:gridCol w:w="5296"/>
      </w:tblGrid>
      <w:tr w:rsidR="007C49C2" w:rsidRPr="00EE01B4" w:rsidTr="009D62D8">
        <w:tc>
          <w:tcPr>
            <w:tcW w:w="3051" w:type="dxa"/>
            <w:shd w:val="clear" w:color="auto" w:fill="FBD4B4" w:themeFill="accent6" w:themeFillTint="66"/>
          </w:tcPr>
          <w:p w:rsidR="007C49C2" w:rsidRPr="00EE01B4" w:rsidRDefault="009E2D28" w:rsidP="00715C48">
            <w:pPr>
              <w:shd w:val="clear" w:color="auto" w:fill="FBD4B4" w:themeFill="accent6" w:themeFillTint="66"/>
              <w:jc w:val="center"/>
              <w:rPr>
                <w:rFonts w:cs="Arial"/>
                <w:b/>
                <w:sz w:val="20"/>
                <w:szCs w:val="20"/>
                <w:lang w:val="fr-FR"/>
              </w:rPr>
            </w:pPr>
            <w:r w:rsidRPr="00EE01B4">
              <w:rPr>
                <w:rFonts w:cs="Arial"/>
                <w:b/>
                <w:sz w:val="20"/>
                <w:szCs w:val="20"/>
                <w:lang w:val="fr-FR"/>
              </w:rPr>
              <w:lastRenderedPageBreak/>
              <w:t>Titr</w:t>
            </w:r>
            <w:r w:rsidR="00263CF9" w:rsidRPr="00EE01B4">
              <w:rPr>
                <w:rFonts w:cs="Arial"/>
                <w:b/>
                <w:sz w:val="20"/>
                <w:szCs w:val="20"/>
                <w:lang w:val="fr-FR"/>
              </w:rPr>
              <w:t>e</w:t>
            </w:r>
          </w:p>
        </w:tc>
        <w:tc>
          <w:tcPr>
            <w:tcW w:w="2168" w:type="dxa"/>
            <w:shd w:val="clear" w:color="auto" w:fill="FBD4B4" w:themeFill="accent6" w:themeFillTint="66"/>
          </w:tcPr>
          <w:p w:rsidR="007C49C2" w:rsidRPr="00EE01B4" w:rsidRDefault="00E35FB9" w:rsidP="00715C48">
            <w:pPr>
              <w:shd w:val="clear" w:color="auto" w:fill="FBD4B4" w:themeFill="accent6" w:themeFillTint="66"/>
              <w:jc w:val="center"/>
              <w:rPr>
                <w:rFonts w:cs="Arial"/>
                <w:b/>
                <w:sz w:val="20"/>
                <w:szCs w:val="20"/>
                <w:lang w:val="fr-FR"/>
              </w:rPr>
            </w:pPr>
            <w:r w:rsidRPr="00EE01B4">
              <w:rPr>
                <w:rFonts w:cs="Arial"/>
                <w:b/>
                <w:sz w:val="20"/>
                <w:szCs w:val="20"/>
                <w:lang w:val="fr-FR"/>
              </w:rPr>
              <w:t xml:space="preserve">Type </w:t>
            </w:r>
            <w:r w:rsidR="009E2D28" w:rsidRPr="00EE01B4">
              <w:rPr>
                <w:rFonts w:cs="Arial"/>
                <w:b/>
                <w:sz w:val="20"/>
                <w:szCs w:val="20"/>
                <w:lang w:val="fr-FR"/>
              </w:rPr>
              <w:t>d’orientation</w:t>
            </w:r>
          </w:p>
        </w:tc>
        <w:tc>
          <w:tcPr>
            <w:tcW w:w="2581" w:type="dxa"/>
            <w:shd w:val="clear" w:color="auto" w:fill="FBD4B4" w:themeFill="accent6" w:themeFillTint="66"/>
          </w:tcPr>
          <w:p w:rsidR="007C49C2" w:rsidRPr="00EE01B4" w:rsidRDefault="00E50363" w:rsidP="00715C48">
            <w:pPr>
              <w:shd w:val="clear" w:color="auto" w:fill="FBD4B4" w:themeFill="accent6" w:themeFillTint="66"/>
              <w:jc w:val="center"/>
              <w:rPr>
                <w:rFonts w:cs="Arial"/>
                <w:b/>
                <w:sz w:val="20"/>
                <w:szCs w:val="20"/>
                <w:lang w:val="fr-FR"/>
              </w:rPr>
            </w:pPr>
            <w:r w:rsidRPr="00EE01B4">
              <w:rPr>
                <w:rFonts w:cs="Arial"/>
                <w:b/>
                <w:sz w:val="20"/>
                <w:szCs w:val="20"/>
                <w:lang w:val="fr-FR"/>
              </w:rPr>
              <w:t>Public (praticiens, décideurs, scientifiques)</w:t>
            </w:r>
          </w:p>
        </w:tc>
        <w:tc>
          <w:tcPr>
            <w:tcW w:w="1259" w:type="dxa"/>
            <w:shd w:val="clear" w:color="auto" w:fill="FBD4B4" w:themeFill="accent6" w:themeFillTint="66"/>
          </w:tcPr>
          <w:p w:rsidR="007C49C2" w:rsidRPr="00EE01B4" w:rsidRDefault="009E2D28" w:rsidP="00715C48">
            <w:pPr>
              <w:shd w:val="clear" w:color="auto" w:fill="FBD4B4" w:themeFill="accent6" w:themeFillTint="66"/>
              <w:jc w:val="center"/>
              <w:rPr>
                <w:rFonts w:cs="Arial"/>
                <w:b/>
                <w:sz w:val="20"/>
                <w:szCs w:val="20"/>
                <w:lang w:val="fr-FR"/>
              </w:rPr>
            </w:pPr>
            <w:r w:rsidRPr="00EE01B4">
              <w:rPr>
                <w:rFonts w:cs="Arial"/>
                <w:b/>
                <w:sz w:val="20"/>
                <w:szCs w:val="20"/>
                <w:lang w:val="fr-FR"/>
              </w:rPr>
              <w:t xml:space="preserve">Manuel </w:t>
            </w:r>
            <w:r w:rsidR="007C49C2" w:rsidRPr="00EE01B4">
              <w:rPr>
                <w:rFonts w:cs="Arial"/>
                <w:b/>
                <w:sz w:val="20"/>
                <w:szCs w:val="20"/>
                <w:lang w:val="fr-FR"/>
              </w:rPr>
              <w:t xml:space="preserve">Ramsar </w:t>
            </w:r>
          </w:p>
        </w:tc>
        <w:tc>
          <w:tcPr>
            <w:tcW w:w="1259" w:type="dxa"/>
            <w:shd w:val="clear" w:color="auto" w:fill="FBD4B4" w:themeFill="accent6" w:themeFillTint="66"/>
          </w:tcPr>
          <w:p w:rsidR="007C49C2" w:rsidRPr="00EE01B4" w:rsidRDefault="007C49C2" w:rsidP="00715C48">
            <w:pPr>
              <w:shd w:val="clear" w:color="auto" w:fill="FBD4B4" w:themeFill="accent6" w:themeFillTint="66"/>
              <w:jc w:val="center"/>
              <w:rPr>
                <w:rFonts w:cs="Arial"/>
                <w:b/>
                <w:sz w:val="20"/>
                <w:szCs w:val="20"/>
                <w:lang w:val="fr-FR"/>
              </w:rPr>
            </w:pPr>
            <w:r w:rsidRPr="00EE01B4">
              <w:rPr>
                <w:rFonts w:cs="Arial"/>
                <w:b/>
                <w:sz w:val="20"/>
                <w:szCs w:val="20"/>
                <w:lang w:val="fr-FR"/>
              </w:rPr>
              <w:t>Langue</w:t>
            </w:r>
            <w:r w:rsidRPr="00EE01B4">
              <w:rPr>
                <w:rStyle w:val="FootnoteReference"/>
                <w:rFonts w:cs="Arial"/>
                <w:b/>
                <w:sz w:val="20"/>
                <w:szCs w:val="20"/>
                <w:lang w:val="fr-FR"/>
              </w:rPr>
              <w:footnoteReference w:id="5"/>
            </w:r>
          </w:p>
        </w:tc>
        <w:tc>
          <w:tcPr>
            <w:tcW w:w="5296" w:type="dxa"/>
            <w:shd w:val="clear" w:color="auto" w:fill="FBD4B4" w:themeFill="accent6" w:themeFillTint="66"/>
          </w:tcPr>
          <w:p w:rsidR="007C49C2" w:rsidRPr="00EE01B4" w:rsidRDefault="00263CF9" w:rsidP="00715C48">
            <w:pPr>
              <w:shd w:val="clear" w:color="auto" w:fill="FBD4B4" w:themeFill="accent6" w:themeFillTint="66"/>
              <w:jc w:val="center"/>
              <w:rPr>
                <w:rFonts w:cs="Arial"/>
                <w:b/>
                <w:sz w:val="20"/>
                <w:szCs w:val="20"/>
                <w:lang w:val="fr-FR"/>
              </w:rPr>
            </w:pPr>
            <w:r w:rsidRPr="00EE01B4">
              <w:rPr>
                <w:rFonts w:cs="Arial"/>
                <w:b/>
                <w:sz w:val="20"/>
                <w:szCs w:val="20"/>
                <w:lang w:val="fr-FR"/>
              </w:rPr>
              <w:t>Notes</w:t>
            </w:r>
          </w:p>
        </w:tc>
      </w:tr>
      <w:tr w:rsidR="005F520D" w:rsidRPr="00EE01B4" w:rsidTr="005F520D">
        <w:tc>
          <w:tcPr>
            <w:tcW w:w="15614" w:type="dxa"/>
            <w:gridSpan w:val="6"/>
            <w:shd w:val="clear" w:color="auto" w:fill="F2F2F2" w:themeFill="background1" w:themeFillShade="F2"/>
          </w:tcPr>
          <w:p w:rsidR="005F520D" w:rsidRPr="00EE01B4" w:rsidRDefault="005F520D" w:rsidP="003207C6">
            <w:pPr>
              <w:jc w:val="center"/>
              <w:rPr>
                <w:rFonts w:cs="Arial"/>
                <w:b/>
                <w:sz w:val="20"/>
                <w:szCs w:val="20"/>
                <w:lang w:val="fr-FR"/>
              </w:rPr>
            </w:pPr>
            <w:r w:rsidRPr="00EE01B4">
              <w:rPr>
                <w:rFonts w:cs="Arial"/>
                <w:b/>
                <w:sz w:val="20"/>
                <w:szCs w:val="20"/>
                <w:lang w:val="fr-FR"/>
              </w:rPr>
              <w:t>Ramsar Guidance</w:t>
            </w:r>
          </w:p>
        </w:tc>
      </w:tr>
      <w:tr w:rsidR="005B2BD3" w:rsidRPr="00EE01B4" w:rsidTr="00715C48">
        <w:tc>
          <w:tcPr>
            <w:tcW w:w="15614" w:type="dxa"/>
            <w:gridSpan w:val="6"/>
            <w:shd w:val="clear" w:color="auto" w:fill="FBD4B4" w:themeFill="accent6" w:themeFillTint="66"/>
          </w:tcPr>
          <w:p w:rsidR="005B2BD3" w:rsidRPr="00EE01B4" w:rsidRDefault="00715C48" w:rsidP="00B5352E">
            <w:pPr>
              <w:spacing w:after="40"/>
              <w:rPr>
                <w:sz w:val="20"/>
                <w:szCs w:val="20"/>
                <w:lang w:val="fr-FR"/>
              </w:rPr>
            </w:pPr>
            <w:r w:rsidRPr="00EE01B4">
              <w:rPr>
                <w:b/>
                <w:sz w:val="20"/>
                <w:szCs w:val="20"/>
                <w:lang w:val="fr-CH"/>
              </w:rPr>
              <w:t>Mise à jour 2016-2019</w:t>
            </w:r>
          </w:p>
        </w:tc>
      </w:tr>
      <w:tr w:rsidR="005B2BD3" w:rsidRPr="00EE01B4" w:rsidTr="009E2D28">
        <w:tc>
          <w:tcPr>
            <w:tcW w:w="3051" w:type="dxa"/>
          </w:tcPr>
          <w:p w:rsidR="005B2BD3" w:rsidRPr="00EE01B4" w:rsidRDefault="00DF180B" w:rsidP="007F2A42">
            <w:pPr>
              <w:rPr>
                <w:sz w:val="20"/>
                <w:szCs w:val="20"/>
                <w:lang w:val="en-CA"/>
              </w:rPr>
            </w:pPr>
            <w:hyperlink r:id="rId176" w:history="1">
              <w:r w:rsidR="005B2BD3" w:rsidRPr="00EE01B4">
                <w:rPr>
                  <w:rStyle w:val="Hyperlink"/>
                  <w:sz w:val="20"/>
                  <w:szCs w:val="20"/>
                  <w:lang w:val="en-CA"/>
                </w:rPr>
                <w:t xml:space="preserve">Resolution XIII.12: Guidance on identifying peatlands as Wetlands </w:t>
              </w:r>
              <w:r w:rsidR="005B2BD3" w:rsidRPr="00EE01B4">
                <w:rPr>
                  <w:rStyle w:val="Hyperlink"/>
                  <w:sz w:val="20"/>
                  <w:szCs w:val="20"/>
                  <w:lang w:val="en-CA"/>
                </w:rPr>
                <w:lastRenderedPageBreak/>
                <w:t>of International Importance (Ramsar Sites) for global climate change regulation as an additional argument to existing Ramsar criteria</w:t>
              </w:r>
            </w:hyperlink>
          </w:p>
        </w:tc>
        <w:tc>
          <w:tcPr>
            <w:tcW w:w="2168" w:type="dxa"/>
          </w:tcPr>
          <w:p w:rsidR="005B2BD3" w:rsidRPr="00EE01B4" w:rsidRDefault="005B2BD3" w:rsidP="007F2A42">
            <w:pPr>
              <w:rPr>
                <w:rFonts w:cs="Arial"/>
                <w:sz w:val="20"/>
                <w:szCs w:val="20"/>
                <w:lang w:val="fr-CH"/>
              </w:rPr>
            </w:pPr>
            <w:proofErr w:type="spellStart"/>
            <w:r w:rsidRPr="00EE01B4">
              <w:rPr>
                <w:rFonts w:cs="Arial"/>
                <w:sz w:val="20"/>
                <w:szCs w:val="20"/>
                <w:lang w:val="fr-CH"/>
              </w:rPr>
              <w:lastRenderedPageBreak/>
              <w:t>Technical</w:t>
            </w:r>
            <w:proofErr w:type="spellEnd"/>
            <w:r w:rsidRPr="00EE01B4">
              <w:rPr>
                <w:rFonts w:cs="Arial"/>
                <w:sz w:val="20"/>
                <w:szCs w:val="20"/>
                <w:lang w:val="fr-CH"/>
              </w:rPr>
              <w:t xml:space="preserve"> </w:t>
            </w:r>
          </w:p>
        </w:tc>
        <w:tc>
          <w:tcPr>
            <w:tcW w:w="2581" w:type="dxa"/>
          </w:tcPr>
          <w:p w:rsidR="005B2BD3" w:rsidRPr="00EE01B4" w:rsidRDefault="005B2BD3" w:rsidP="007F2A42">
            <w:pPr>
              <w:rPr>
                <w:rFonts w:cs="Arial"/>
                <w:sz w:val="20"/>
                <w:szCs w:val="20"/>
                <w:lang w:val="fr-CH"/>
              </w:rPr>
            </w:pPr>
            <w:proofErr w:type="spellStart"/>
            <w:r w:rsidRPr="00EE01B4">
              <w:rPr>
                <w:rFonts w:cs="Arial"/>
                <w:sz w:val="20"/>
                <w:szCs w:val="20"/>
                <w:lang w:val="fr-CH"/>
              </w:rPr>
              <w:t>Policymakers</w:t>
            </w:r>
            <w:proofErr w:type="spellEnd"/>
            <w:r w:rsidRPr="00EE01B4">
              <w:rPr>
                <w:rFonts w:cs="Arial"/>
                <w:sz w:val="20"/>
                <w:szCs w:val="20"/>
                <w:lang w:val="fr-CH"/>
              </w:rPr>
              <w:t xml:space="preserve">, </w:t>
            </w:r>
            <w:proofErr w:type="spellStart"/>
            <w:r w:rsidRPr="00EE01B4">
              <w:rPr>
                <w:rFonts w:cs="Arial"/>
                <w:sz w:val="20"/>
                <w:szCs w:val="20"/>
                <w:lang w:val="fr-CH"/>
              </w:rPr>
              <w:t>practitioners</w:t>
            </w:r>
            <w:proofErr w:type="spellEnd"/>
            <w:r w:rsidRPr="00EE01B4">
              <w:rPr>
                <w:rFonts w:cs="Arial"/>
                <w:sz w:val="20"/>
                <w:szCs w:val="20"/>
                <w:lang w:val="fr-CH"/>
              </w:rPr>
              <w:t xml:space="preserve"> </w:t>
            </w:r>
          </w:p>
        </w:tc>
        <w:tc>
          <w:tcPr>
            <w:tcW w:w="1259" w:type="dxa"/>
          </w:tcPr>
          <w:p w:rsidR="005B2BD3" w:rsidRPr="00EE01B4" w:rsidRDefault="005B2BD3" w:rsidP="007F2A42">
            <w:pPr>
              <w:rPr>
                <w:rFonts w:cs="Arial"/>
                <w:sz w:val="20"/>
                <w:szCs w:val="20"/>
                <w:lang w:val="en-CA"/>
              </w:rPr>
            </w:pPr>
            <w:r w:rsidRPr="00EE01B4">
              <w:rPr>
                <w:rFonts w:cs="Arial"/>
                <w:sz w:val="20"/>
                <w:szCs w:val="20"/>
                <w:lang w:val="en-CA"/>
              </w:rPr>
              <w:t xml:space="preserve">Not yet included in a </w:t>
            </w:r>
            <w:r w:rsidRPr="00EE01B4">
              <w:rPr>
                <w:rFonts w:cs="Arial"/>
                <w:sz w:val="20"/>
                <w:szCs w:val="20"/>
                <w:lang w:val="en-CA"/>
              </w:rPr>
              <w:lastRenderedPageBreak/>
              <w:t>Handbook</w:t>
            </w:r>
          </w:p>
        </w:tc>
        <w:tc>
          <w:tcPr>
            <w:tcW w:w="1259" w:type="dxa"/>
          </w:tcPr>
          <w:p w:rsidR="005B2BD3" w:rsidRPr="00EE01B4" w:rsidRDefault="005B2BD3" w:rsidP="007F2A42">
            <w:pPr>
              <w:rPr>
                <w:sz w:val="20"/>
                <w:szCs w:val="20"/>
                <w:lang w:val="fr-CH"/>
              </w:rPr>
            </w:pPr>
            <w:r w:rsidRPr="00EE01B4">
              <w:rPr>
                <w:sz w:val="20"/>
                <w:szCs w:val="20"/>
                <w:lang w:val="fr-CH"/>
              </w:rPr>
              <w:lastRenderedPageBreak/>
              <w:t>E, F, S</w:t>
            </w:r>
          </w:p>
        </w:tc>
        <w:tc>
          <w:tcPr>
            <w:tcW w:w="5296" w:type="dxa"/>
          </w:tcPr>
          <w:p w:rsidR="005B2BD3" w:rsidRPr="00EE01B4" w:rsidRDefault="005B2BD3" w:rsidP="00B5352E">
            <w:pPr>
              <w:spacing w:after="40"/>
              <w:rPr>
                <w:sz w:val="20"/>
                <w:szCs w:val="20"/>
                <w:lang w:val="fr-FR"/>
              </w:rPr>
            </w:pPr>
          </w:p>
        </w:tc>
      </w:tr>
      <w:tr w:rsidR="005B2BD3" w:rsidRPr="00EE01B4" w:rsidTr="009E2D28">
        <w:tc>
          <w:tcPr>
            <w:tcW w:w="3051" w:type="dxa"/>
          </w:tcPr>
          <w:p w:rsidR="005B2BD3" w:rsidRPr="00EE01B4" w:rsidRDefault="00DF180B" w:rsidP="007F2A42">
            <w:pPr>
              <w:rPr>
                <w:sz w:val="20"/>
                <w:szCs w:val="20"/>
                <w:lang w:val="en-CA"/>
              </w:rPr>
            </w:pPr>
            <w:hyperlink r:id="rId177" w:history="1">
              <w:r w:rsidR="005B2BD3" w:rsidRPr="00EE01B4">
                <w:rPr>
                  <w:rStyle w:val="Hyperlink"/>
                  <w:sz w:val="20"/>
                  <w:szCs w:val="20"/>
                  <w:lang w:val="en-CA"/>
                </w:rPr>
                <w:t>Resolution XIII.13: Restoration of degraded peatlands to mitigate and adapt to climate change and enhance biodiversity and disaster risk reduction</w:t>
              </w:r>
            </w:hyperlink>
          </w:p>
        </w:tc>
        <w:tc>
          <w:tcPr>
            <w:tcW w:w="2168" w:type="dxa"/>
          </w:tcPr>
          <w:p w:rsidR="005B2BD3" w:rsidRPr="00EE01B4" w:rsidRDefault="005B2BD3" w:rsidP="007F2A42">
            <w:pPr>
              <w:rPr>
                <w:rFonts w:cs="Arial"/>
                <w:sz w:val="20"/>
                <w:szCs w:val="20"/>
                <w:lang w:val="fr-CH"/>
              </w:rPr>
            </w:pPr>
            <w:proofErr w:type="spellStart"/>
            <w:r w:rsidRPr="00EE01B4">
              <w:rPr>
                <w:rFonts w:cs="Arial"/>
                <w:sz w:val="20"/>
                <w:szCs w:val="20"/>
                <w:lang w:val="fr-CH"/>
              </w:rPr>
              <w:t>Technical</w:t>
            </w:r>
            <w:proofErr w:type="spellEnd"/>
            <w:r w:rsidRPr="00EE01B4">
              <w:rPr>
                <w:rFonts w:cs="Arial"/>
                <w:sz w:val="20"/>
                <w:szCs w:val="20"/>
                <w:lang w:val="fr-CH"/>
              </w:rPr>
              <w:t xml:space="preserve"> </w:t>
            </w:r>
          </w:p>
        </w:tc>
        <w:tc>
          <w:tcPr>
            <w:tcW w:w="2581" w:type="dxa"/>
          </w:tcPr>
          <w:p w:rsidR="005B2BD3" w:rsidRPr="00EE01B4" w:rsidRDefault="005B2BD3" w:rsidP="007F2A42">
            <w:pPr>
              <w:rPr>
                <w:rFonts w:cs="Arial"/>
                <w:sz w:val="20"/>
                <w:szCs w:val="20"/>
                <w:lang w:val="fr-CH"/>
              </w:rPr>
            </w:pPr>
            <w:proofErr w:type="spellStart"/>
            <w:r w:rsidRPr="00EE01B4">
              <w:rPr>
                <w:rFonts w:cs="Arial"/>
                <w:sz w:val="20"/>
                <w:szCs w:val="20"/>
                <w:lang w:val="fr-CH"/>
              </w:rPr>
              <w:t>Policymakers</w:t>
            </w:r>
            <w:proofErr w:type="spellEnd"/>
            <w:r w:rsidRPr="00EE01B4">
              <w:rPr>
                <w:rFonts w:cs="Arial"/>
                <w:sz w:val="20"/>
                <w:szCs w:val="20"/>
                <w:lang w:val="fr-CH"/>
              </w:rPr>
              <w:t xml:space="preserve">, </w:t>
            </w:r>
            <w:proofErr w:type="spellStart"/>
            <w:r w:rsidRPr="00EE01B4">
              <w:rPr>
                <w:rFonts w:cs="Arial"/>
                <w:sz w:val="20"/>
                <w:szCs w:val="20"/>
                <w:lang w:val="fr-CH"/>
              </w:rPr>
              <w:t>practitioners</w:t>
            </w:r>
            <w:proofErr w:type="spellEnd"/>
            <w:r w:rsidRPr="00EE01B4">
              <w:rPr>
                <w:rFonts w:cs="Arial"/>
                <w:sz w:val="20"/>
                <w:szCs w:val="20"/>
                <w:lang w:val="fr-CH"/>
              </w:rPr>
              <w:t xml:space="preserve"> </w:t>
            </w:r>
          </w:p>
        </w:tc>
        <w:tc>
          <w:tcPr>
            <w:tcW w:w="1259" w:type="dxa"/>
          </w:tcPr>
          <w:p w:rsidR="005B2BD3" w:rsidRPr="00EE01B4" w:rsidRDefault="005B2BD3" w:rsidP="007F2A42">
            <w:pPr>
              <w:rPr>
                <w:rFonts w:cs="Arial"/>
                <w:sz w:val="20"/>
                <w:szCs w:val="20"/>
                <w:lang w:val="en-CA"/>
              </w:rPr>
            </w:pPr>
            <w:r w:rsidRPr="00EE01B4">
              <w:rPr>
                <w:rFonts w:cs="Arial"/>
                <w:sz w:val="20"/>
                <w:szCs w:val="20"/>
                <w:lang w:val="en-CA"/>
              </w:rPr>
              <w:t>Not yet included in a Handbook</w:t>
            </w:r>
          </w:p>
        </w:tc>
        <w:tc>
          <w:tcPr>
            <w:tcW w:w="1259" w:type="dxa"/>
          </w:tcPr>
          <w:p w:rsidR="005B2BD3" w:rsidRPr="00EE01B4" w:rsidRDefault="005B2BD3" w:rsidP="007F2A42">
            <w:pPr>
              <w:rPr>
                <w:sz w:val="20"/>
                <w:szCs w:val="20"/>
                <w:lang w:val="fr-CH"/>
              </w:rPr>
            </w:pPr>
            <w:r w:rsidRPr="00EE01B4">
              <w:rPr>
                <w:sz w:val="20"/>
                <w:szCs w:val="20"/>
                <w:lang w:val="fr-CH"/>
              </w:rPr>
              <w:t>E, F, S</w:t>
            </w:r>
          </w:p>
        </w:tc>
        <w:tc>
          <w:tcPr>
            <w:tcW w:w="5296" w:type="dxa"/>
          </w:tcPr>
          <w:p w:rsidR="005B2BD3" w:rsidRPr="00EE01B4" w:rsidRDefault="005B2BD3" w:rsidP="00B5352E">
            <w:pPr>
              <w:spacing w:after="40"/>
              <w:rPr>
                <w:sz w:val="20"/>
                <w:szCs w:val="20"/>
                <w:lang w:val="fr-FR"/>
              </w:rPr>
            </w:pPr>
          </w:p>
        </w:tc>
      </w:tr>
      <w:tr w:rsidR="005B2BD3" w:rsidRPr="00DF180B" w:rsidTr="009E2D28">
        <w:tc>
          <w:tcPr>
            <w:tcW w:w="3051" w:type="dxa"/>
          </w:tcPr>
          <w:p w:rsidR="005B2BD3" w:rsidRPr="00EE01B4" w:rsidRDefault="00DF180B" w:rsidP="007F2A42">
            <w:pPr>
              <w:rPr>
                <w:sz w:val="20"/>
                <w:szCs w:val="20"/>
                <w:lang w:val="en-CA"/>
              </w:rPr>
            </w:pPr>
            <w:hyperlink r:id="rId178" w:history="1">
              <w:r w:rsidR="005B2BD3" w:rsidRPr="00EE01B4">
                <w:rPr>
                  <w:rStyle w:val="Hyperlink"/>
                  <w:sz w:val="20"/>
                  <w:szCs w:val="20"/>
                  <w:lang w:val="en-CA"/>
                </w:rPr>
                <w:t>Briefing Note 10: Wetland restoration for climate change resilience</w:t>
              </w:r>
            </w:hyperlink>
          </w:p>
        </w:tc>
        <w:tc>
          <w:tcPr>
            <w:tcW w:w="2168" w:type="dxa"/>
          </w:tcPr>
          <w:p w:rsidR="005B2BD3" w:rsidRPr="00EE01B4" w:rsidRDefault="005B2BD3" w:rsidP="007F2A42">
            <w:pPr>
              <w:rPr>
                <w:rFonts w:cs="Arial"/>
                <w:sz w:val="20"/>
                <w:szCs w:val="20"/>
                <w:lang w:val="fr-CH"/>
              </w:rPr>
            </w:pPr>
            <w:proofErr w:type="spellStart"/>
            <w:r w:rsidRPr="00EE01B4">
              <w:rPr>
                <w:rFonts w:cs="Arial"/>
                <w:sz w:val="20"/>
                <w:szCs w:val="20"/>
                <w:lang w:val="fr-CH"/>
              </w:rPr>
              <w:t>Technical</w:t>
            </w:r>
            <w:proofErr w:type="spellEnd"/>
          </w:p>
        </w:tc>
        <w:tc>
          <w:tcPr>
            <w:tcW w:w="2581" w:type="dxa"/>
          </w:tcPr>
          <w:p w:rsidR="005B2BD3" w:rsidRPr="00EE01B4" w:rsidRDefault="005B2BD3" w:rsidP="007F2A42">
            <w:pPr>
              <w:rPr>
                <w:rFonts w:cs="Arial"/>
                <w:sz w:val="20"/>
                <w:szCs w:val="20"/>
                <w:lang w:val="fr-CH"/>
              </w:rPr>
            </w:pPr>
            <w:proofErr w:type="spellStart"/>
            <w:r w:rsidRPr="00EE01B4">
              <w:rPr>
                <w:rFonts w:cs="Arial"/>
                <w:sz w:val="20"/>
                <w:szCs w:val="20"/>
                <w:lang w:val="fr-CH"/>
              </w:rPr>
              <w:t>Practitioners</w:t>
            </w:r>
            <w:proofErr w:type="spellEnd"/>
          </w:p>
        </w:tc>
        <w:tc>
          <w:tcPr>
            <w:tcW w:w="1259" w:type="dxa"/>
          </w:tcPr>
          <w:p w:rsidR="005B2BD3" w:rsidRPr="00EE01B4" w:rsidRDefault="005B2BD3" w:rsidP="007F2A42">
            <w:pPr>
              <w:rPr>
                <w:rFonts w:cs="Arial"/>
                <w:sz w:val="20"/>
                <w:szCs w:val="20"/>
                <w:lang w:val="fr-CH"/>
              </w:rPr>
            </w:pPr>
          </w:p>
        </w:tc>
        <w:tc>
          <w:tcPr>
            <w:tcW w:w="1259" w:type="dxa"/>
          </w:tcPr>
          <w:p w:rsidR="005B2BD3" w:rsidRPr="00EE01B4" w:rsidRDefault="005B2BD3" w:rsidP="007F2A42">
            <w:pPr>
              <w:rPr>
                <w:sz w:val="20"/>
                <w:szCs w:val="20"/>
                <w:lang w:val="fr-CH"/>
              </w:rPr>
            </w:pPr>
            <w:r w:rsidRPr="00EE01B4">
              <w:rPr>
                <w:sz w:val="20"/>
                <w:szCs w:val="20"/>
                <w:lang w:val="fr-CH"/>
              </w:rPr>
              <w:t>E</w:t>
            </w:r>
          </w:p>
        </w:tc>
        <w:tc>
          <w:tcPr>
            <w:tcW w:w="5296" w:type="dxa"/>
          </w:tcPr>
          <w:p w:rsidR="005B2BD3" w:rsidRPr="00EE01B4" w:rsidRDefault="005B2BD3" w:rsidP="007F2A42">
            <w:pPr>
              <w:rPr>
                <w:sz w:val="20"/>
                <w:szCs w:val="20"/>
                <w:lang w:val="en-CA"/>
              </w:rPr>
            </w:pPr>
            <w:r w:rsidRPr="00EE01B4">
              <w:rPr>
                <w:sz w:val="20"/>
                <w:szCs w:val="20"/>
                <w:lang w:val="en-CA"/>
              </w:rPr>
              <w:t>Summary: the Briefing Note “provides key information from recent reports on wetlands and climate change mitigation and adaptation. It includes assessments of carbon uptake and storage, which find that the continuing loss and degradation of wetlands has resulted in significant losses of their stored carbon to the atmosphere. Evidence of the value of wetlands in reducing disaster risk is reviewed, showing that the loss of wetlands is associated with greater human and ecological impacts, and economic costs. It also includes a discussion of approaches to wetland restoration to help recover these benefits. It uses the term restoration in the broadest sense of the Ramsar Convention, which includes both projects that aim to return sites to their original conditions and projects that improve wetland functions without necessarily promoting a return to pre-disturbance conditions.”</w:t>
            </w:r>
          </w:p>
        </w:tc>
      </w:tr>
      <w:tr w:rsidR="005B2BD3" w:rsidRPr="00EE01B4" w:rsidTr="00715C48">
        <w:tc>
          <w:tcPr>
            <w:tcW w:w="15614" w:type="dxa"/>
            <w:gridSpan w:val="6"/>
            <w:shd w:val="clear" w:color="auto" w:fill="FBD4B4" w:themeFill="accent6" w:themeFillTint="66"/>
          </w:tcPr>
          <w:p w:rsidR="005B2BD3" w:rsidRPr="00EE01B4" w:rsidRDefault="005B2BD3" w:rsidP="00B5352E">
            <w:pPr>
              <w:spacing w:after="40"/>
              <w:rPr>
                <w:sz w:val="20"/>
                <w:szCs w:val="20"/>
                <w:lang w:val="en-GB"/>
              </w:rPr>
            </w:pPr>
            <w:r w:rsidRPr="00EE01B4">
              <w:rPr>
                <w:rFonts w:cs="Arial"/>
                <w:b/>
                <w:sz w:val="20"/>
                <w:szCs w:val="20"/>
                <w:lang w:val="fr-CH"/>
              </w:rPr>
              <w:t>Jusqu’en 2015</w:t>
            </w:r>
          </w:p>
        </w:tc>
      </w:tr>
      <w:tr w:rsidR="005B2BD3" w:rsidRPr="00EE01B4" w:rsidTr="009E2D28">
        <w:tc>
          <w:tcPr>
            <w:tcW w:w="3051" w:type="dxa"/>
          </w:tcPr>
          <w:p w:rsidR="005B2BD3" w:rsidRPr="00EE01B4" w:rsidRDefault="00DF180B" w:rsidP="009D3B00">
            <w:pPr>
              <w:rPr>
                <w:rFonts w:cs="Arial"/>
                <w:sz w:val="20"/>
                <w:szCs w:val="20"/>
                <w:lang w:val="fr-FR"/>
              </w:rPr>
            </w:pPr>
            <w:hyperlink r:id="rId179" w:history="1">
              <w:r w:rsidR="005B2BD3" w:rsidRPr="00EE01B4">
                <w:rPr>
                  <w:rStyle w:val="Hyperlink"/>
                  <w:sz w:val="20"/>
                  <w:szCs w:val="20"/>
                  <w:lang w:val="fr-FR"/>
                </w:rPr>
                <w:t>Résolution VIII.16 : Principes et lignes directrices pour la restauration des zones humides</w:t>
              </w:r>
            </w:hyperlink>
          </w:p>
        </w:tc>
        <w:tc>
          <w:tcPr>
            <w:tcW w:w="2168" w:type="dxa"/>
          </w:tcPr>
          <w:p w:rsidR="005B2BD3" w:rsidRPr="00EE01B4" w:rsidRDefault="005B2BD3" w:rsidP="00B5352E">
            <w:pPr>
              <w:rPr>
                <w:rFonts w:cs="Arial"/>
                <w:sz w:val="20"/>
                <w:szCs w:val="20"/>
                <w:lang w:val="fr-FR"/>
              </w:rPr>
            </w:pPr>
            <w:r w:rsidRPr="00EE01B4">
              <w:rPr>
                <w:rFonts w:cs="Arial"/>
                <w:sz w:val="20"/>
                <w:szCs w:val="20"/>
                <w:lang w:val="fr-FR"/>
              </w:rPr>
              <w:t xml:space="preserve">Technique </w:t>
            </w:r>
          </w:p>
        </w:tc>
        <w:tc>
          <w:tcPr>
            <w:tcW w:w="2581" w:type="dxa"/>
          </w:tcPr>
          <w:p w:rsidR="005B2BD3" w:rsidRPr="00EE01B4" w:rsidRDefault="005B2BD3" w:rsidP="00B5352E">
            <w:pPr>
              <w:rPr>
                <w:rFonts w:cs="Arial"/>
                <w:sz w:val="20"/>
                <w:szCs w:val="20"/>
                <w:lang w:val="fr-FR"/>
              </w:rPr>
            </w:pPr>
            <w:r w:rsidRPr="00EE01B4">
              <w:rPr>
                <w:rFonts w:cs="Arial"/>
                <w:sz w:val="20"/>
                <w:szCs w:val="20"/>
                <w:lang w:val="fr-FR"/>
              </w:rPr>
              <w:t>Décideurs, praticiens</w:t>
            </w:r>
          </w:p>
        </w:tc>
        <w:tc>
          <w:tcPr>
            <w:tcW w:w="1259" w:type="dxa"/>
          </w:tcPr>
          <w:p w:rsidR="005B2BD3" w:rsidRPr="00EE01B4" w:rsidRDefault="005B2BD3" w:rsidP="00B5352E">
            <w:pPr>
              <w:rPr>
                <w:rFonts w:cs="Arial"/>
                <w:sz w:val="20"/>
                <w:szCs w:val="20"/>
                <w:lang w:val="fr-FR"/>
              </w:rPr>
            </w:pPr>
            <w:r w:rsidRPr="00EE01B4">
              <w:rPr>
                <w:rFonts w:cs="Arial"/>
                <w:sz w:val="20"/>
                <w:szCs w:val="20"/>
                <w:lang w:val="fr-FR"/>
              </w:rPr>
              <w:t>15, 18</w:t>
            </w:r>
          </w:p>
        </w:tc>
        <w:tc>
          <w:tcPr>
            <w:tcW w:w="1259" w:type="dxa"/>
          </w:tcPr>
          <w:p w:rsidR="005B2BD3" w:rsidRPr="00EE01B4" w:rsidRDefault="005B2BD3" w:rsidP="00B5352E">
            <w:pPr>
              <w:rPr>
                <w:rFonts w:cs="Arial"/>
                <w:sz w:val="20"/>
                <w:szCs w:val="20"/>
                <w:lang w:val="fr-FR"/>
              </w:rPr>
            </w:pPr>
            <w:r w:rsidRPr="00EE01B4">
              <w:rPr>
                <w:sz w:val="20"/>
                <w:szCs w:val="20"/>
                <w:lang w:val="fr-FR"/>
              </w:rPr>
              <w:t>EFS</w:t>
            </w:r>
          </w:p>
        </w:tc>
        <w:tc>
          <w:tcPr>
            <w:tcW w:w="5296" w:type="dxa"/>
          </w:tcPr>
          <w:p w:rsidR="005B2BD3" w:rsidRPr="00EE01B4" w:rsidRDefault="005B2BD3" w:rsidP="00B5352E">
            <w:pPr>
              <w:spacing w:after="40"/>
              <w:rPr>
                <w:sz w:val="20"/>
                <w:szCs w:val="20"/>
                <w:lang w:val="fr-FR"/>
              </w:rPr>
            </w:pPr>
          </w:p>
        </w:tc>
      </w:tr>
      <w:tr w:rsidR="005B2BD3" w:rsidRPr="00EE01B4" w:rsidTr="009E2D28">
        <w:tc>
          <w:tcPr>
            <w:tcW w:w="3051" w:type="dxa"/>
          </w:tcPr>
          <w:p w:rsidR="005B2BD3" w:rsidRPr="00EE01B4" w:rsidRDefault="00DF180B" w:rsidP="009D3B00">
            <w:pPr>
              <w:rPr>
                <w:rFonts w:cs="Arial"/>
                <w:sz w:val="20"/>
                <w:szCs w:val="20"/>
                <w:lang w:val="fr-FR"/>
              </w:rPr>
            </w:pPr>
            <w:hyperlink r:id="rId180" w:history="1">
              <w:r w:rsidR="005B2BD3" w:rsidRPr="00EE01B4">
                <w:rPr>
                  <w:rStyle w:val="Hyperlink"/>
                  <w:sz w:val="20"/>
                  <w:szCs w:val="20"/>
                  <w:lang w:val="fr-FR"/>
                </w:rPr>
                <w:t xml:space="preserve">COP10 DOC. 25: </w:t>
              </w:r>
              <w:proofErr w:type="spellStart"/>
              <w:r w:rsidR="005B2BD3" w:rsidRPr="00EE01B4">
                <w:rPr>
                  <w:rStyle w:val="Hyperlink"/>
                  <w:sz w:val="20"/>
                  <w:szCs w:val="20"/>
                  <w:lang w:val="fr-FR"/>
                </w:rPr>
                <w:t>Additional</w:t>
              </w:r>
              <w:proofErr w:type="spellEnd"/>
              <w:r w:rsidR="005B2BD3" w:rsidRPr="00EE01B4">
                <w:rPr>
                  <w:rStyle w:val="Hyperlink"/>
                  <w:sz w:val="20"/>
                  <w:szCs w:val="20"/>
                  <w:lang w:val="fr-FR"/>
                </w:rPr>
                <w:t xml:space="preserve"> information on </w:t>
              </w:r>
              <w:proofErr w:type="spellStart"/>
              <w:r w:rsidR="005B2BD3" w:rsidRPr="00EE01B4">
                <w:rPr>
                  <w:rStyle w:val="Hyperlink"/>
                  <w:sz w:val="20"/>
                  <w:szCs w:val="20"/>
                  <w:lang w:val="fr-FR"/>
                </w:rPr>
                <w:t>climate</w:t>
              </w:r>
              <w:proofErr w:type="spellEnd"/>
              <w:r w:rsidR="005B2BD3" w:rsidRPr="00EE01B4">
                <w:rPr>
                  <w:rStyle w:val="Hyperlink"/>
                  <w:sz w:val="20"/>
                  <w:szCs w:val="20"/>
                  <w:lang w:val="fr-FR"/>
                </w:rPr>
                <w:t xml:space="preserve"> change and </w:t>
              </w:r>
              <w:proofErr w:type="spellStart"/>
              <w:r w:rsidR="005B2BD3" w:rsidRPr="00EE01B4">
                <w:rPr>
                  <w:rStyle w:val="Hyperlink"/>
                  <w:sz w:val="20"/>
                  <w:szCs w:val="20"/>
                  <w:lang w:val="fr-FR"/>
                </w:rPr>
                <w:t>wetlands</w:t>
              </w:r>
              <w:proofErr w:type="spellEnd"/>
              <w:r w:rsidR="005B2BD3" w:rsidRPr="00EE01B4">
                <w:rPr>
                  <w:rStyle w:val="Hyperlink"/>
                  <w:sz w:val="20"/>
                  <w:szCs w:val="20"/>
                  <w:lang w:val="fr-FR"/>
                </w:rPr>
                <w:t xml:space="preserve"> issues</w:t>
              </w:r>
            </w:hyperlink>
            <w:r w:rsidR="005B2BD3" w:rsidRPr="00EE01B4">
              <w:rPr>
                <w:rStyle w:val="Hyperlink"/>
                <w:sz w:val="20"/>
                <w:szCs w:val="20"/>
                <w:lang w:val="fr-FR"/>
              </w:rPr>
              <w:t xml:space="preserve"> (Résolution X.24 Les changements climatiques et les zones humides)</w:t>
            </w:r>
          </w:p>
        </w:tc>
        <w:tc>
          <w:tcPr>
            <w:tcW w:w="2168" w:type="dxa"/>
          </w:tcPr>
          <w:p w:rsidR="005B2BD3" w:rsidRPr="00EE01B4" w:rsidRDefault="005B2BD3" w:rsidP="00B5352E">
            <w:pPr>
              <w:rPr>
                <w:rFonts w:cs="Arial"/>
                <w:sz w:val="20"/>
                <w:szCs w:val="20"/>
                <w:lang w:val="fr-FR"/>
              </w:rPr>
            </w:pPr>
            <w:r w:rsidRPr="00EE01B4">
              <w:rPr>
                <w:rFonts w:cs="Arial"/>
                <w:sz w:val="20"/>
                <w:szCs w:val="20"/>
                <w:lang w:val="fr-FR"/>
              </w:rPr>
              <w:t>Technique</w:t>
            </w:r>
          </w:p>
        </w:tc>
        <w:tc>
          <w:tcPr>
            <w:tcW w:w="2581" w:type="dxa"/>
          </w:tcPr>
          <w:p w:rsidR="005B2BD3" w:rsidRPr="00EE01B4" w:rsidRDefault="005B2BD3" w:rsidP="00B5352E">
            <w:pPr>
              <w:rPr>
                <w:rFonts w:cs="Arial"/>
                <w:sz w:val="20"/>
                <w:szCs w:val="20"/>
                <w:lang w:val="fr-FR"/>
              </w:rPr>
            </w:pPr>
            <w:r w:rsidRPr="00EE01B4">
              <w:rPr>
                <w:rFonts w:cs="Arial"/>
                <w:sz w:val="20"/>
                <w:szCs w:val="20"/>
                <w:lang w:val="fr-FR"/>
              </w:rPr>
              <w:t>Décideurs, praticiens</w:t>
            </w:r>
          </w:p>
        </w:tc>
        <w:tc>
          <w:tcPr>
            <w:tcW w:w="1259" w:type="dxa"/>
          </w:tcPr>
          <w:p w:rsidR="005B2BD3" w:rsidRPr="00EE01B4" w:rsidRDefault="005B2BD3" w:rsidP="00B5352E">
            <w:pPr>
              <w:rPr>
                <w:rFonts w:cs="Arial"/>
                <w:sz w:val="20"/>
                <w:szCs w:val="20"/>
                <w:lang w:val="fr-FR"/>
              </w:rPr>
            </w:pPr>
          </w:p>
        </w:tc>
        <w:tc>
          <w:tcPr>
            <w:tcW w:w="1259" w:type="dxa"/>
          </w:tcPr>
          <w:p w:rsidR="005B2BD3" w:rsidRPr="00EE01B4" w:rsidRDefault="005B2BD3" w:rsidP="00B5352E">
            <w:pPr>
              <w:rPr>
                <w:rFonts w:cs="Arial"/>
                <w:sz w:val="20"/>
                <w:szCs w:val="20"/>
                <w:lang w:val="fr-FR"/>
              </w:rPr>
            </w:pPr>
            <w:r w:rsidRPr="00EE01B4">
              <w:rPr>
                <w:sz w:val="20"/>
                <w:szCs w:val="20"/>
                <w:lang w:val="fr-FR"/>
              </w:rPr>
              <w:t>E</w:t>
            </w:r>
          </w:p>
        </w:tc>
        <w:tc>
          <w:tcPr>
            <w:tcW w:w="5296" w:type="dxa"/>
          </w:tcPr>
          <w:p w:rsidR="005B2BD3" w:rsidRPr="00EE01B4" w:rsidRDefault="005B2BD3" w:rsidP="006147DB">
            <w:pPr>
              <w:spacing w:after="40"/>
              <w:rPr>
                <w:sz w:val="20"/>
                <w:szCs w:val="20"/>
                <w:lang w:val="fr-FR"/>
              </w:rPr>
            </w:pPr>
            <w:r w:rsidRPr="00EE01B4">
              <w:rPr>
                <w:rFonts w:cs="Arial"/>
                <w:sz w:val="20"/>
                <w:szCs w:val="20"/>
                <w:u w:val="single"/>
                <w:lang w:val="fr-FR"/>
              </w:rPr>
              <w:t>Résumé</w:t>
            </w:r>
            <w:r w:rsidRPr="00EE01B4">
              <w:rPr>
                <w:rFonts w:cs="Arial"/>
                <w:sz w:val="20"/>
                <w:szCs w:val="20"/>
                <w:lang w:val="fr-FR"/>
              </w:rPr>
              <w:t> : Ce document d’information, préparé par le Groupe d’évaluation scientifique et technique (GEST) comme document d’appui à l’examen du projet de résolution X.</w:t>
            </w:r>
            <w:r w:rsidRPr="00EE01B4">
              <w:rPr>
                <w:sz w:val="20"/>
                <w:szCs w:val="20"/>
                <w:lang w:val="fr-FR"/>
              </w:rPr>
              <w:t xml:space="preserve"> 24, « Les changements climatiques et les zones humides », fournit un résumé des travaux récents entrepris par le GEST concernant toute une gamme de questions à propos des interactions entre les zones humides et le climat. </w:t>
            </w:r>
          </w:p>
        </w:tc>
      </w:tr>
      <w:tr w:rsidR="005B2BD3" w:rsidRPr="00EE01B4" w:rsidTr="009E2D28">
        <w:tc>
          <w:tcPr>
            <w:tcW w:w="3051" w:type="dxa"/>
          </w:tcPr>
          <w:p w:rsidR="005B2BD3" w:rsidRPr="00EE01B4" w:rsidRDefault="005B2BD3" w:rsidP="005E2680">
            <w:pPr>
              <w:rPr>
                <w:rStyle w:val="Hyperlink"/>
                <w:sz w:val="20"/>
                <w:szCs w:val="20"/>
                <w:lang w:val="fr-FR"/>
              </w:rPr>
            </w:pPr>
            <w:r w:rsidRPr="00EE01B4">
              <w:rPr>
                <w:sz w:val="20"/>
                <w:szCs w:val="20"/>
                <w:lang w:val="fr-FR"/>
              </w:rPr>
              <w:fldChar w:fldCharType="begin"/>
            </w:r>
            <w:r w:rsidRPr="00EE01B4">
              <w:rPr>
                <w:sz w:val="20"/>
                <w:szCs w:val="20"/>
                <w:lang w:val="fr-FR"/>
              </w:rPr>
              <w:instrText xml:space="preserve"> HYPERLINK "http://www.ramsar.org/sites/default/files/documents/bn/bn4-fr.pdf" </w:instrText>
            </w:r>
            <w:r w:rsidRPr="00EE01B4">
              <w:rPr>
                <w:sz w:val="20"/>
                <w:szCs w:val="20"/>
                <w:lang w:val="fr-FR"/>
              </w:rPr>
              <w:fldChar w:fldCharType="separate"/>
            </w:r>
            <w:r w:rsidRPr="00EE01B4">
              <w:rPr>
                <w:rStyle w:val="Hyperlink"/>
                <w:sz w:val="20"/>
                <w:szCs w:val="20"/>
                <w:lang w:val="fr-FR"/>
              </w:rPr>
              <w:t>Note d’information du GEST n</w:t>
            </w:r>
            <w:r w:rsidRPr="00EE01B4">
              <w:rPr>
                <w:rStyle w:val="Hyperlink"/>
                <w:sz w:val="20"/>
                <w:szCs w:val="20"/>
                <w:vertAlign w:val="superscript"/>
                <w:lang w:val="fr-FR"/>
              </w:rPr>
              <w:t>o</w:t>
            </w:r>
            <w:r w:rsidRPr="00EE01B4">
              <w:rPr>
                <w:rStyle w:val="Hyperlink"/>
                <w:sz w:val="20"/>
                <w:szCs w:val="20"/>
                <w:lang w:val="fr-FR"/>
              </w:rPr>
              <w:t xml:space="preserve"> 4: Les avantages de la restauration </w:t>
            </w:r>
            <w:r w:rsidRPr="00EE01B4">
              <w:rPr>
                <w:rStyle w:val="Hyperlink"/>
                <w:sz w:val="20"/>
                <w:szCs w:val="20"/>
                <w:lang w:val="fr-FR"/>
              </w:rPr>
              <w:lastRenderedPageBreak/>
              <w:t>des</w:t>
            </w:r>
          </w:p>
          <w:p w:rsidR="005B2BD3" w:rsidRPr="00EE01B4" w:rsidRDefault="005B2BD3" w:rsidP="005E2680">
            <w:pPr>
              <w:rPr>
                <w:rFonts w:cs="Arial"/>
                <w:sz w:val="20"/>
                <w:szCs w:val="20"/>
                <w:lang w:val="fr-FR"/>
              </w:rPr>
            </w:pPr>
            <w:r w:rsidRPr="00EE01B4">
              <w:rPr>
                <w:rStyle w:val="Hyperlink"/>
                <w:sz w:val="20"/>
                <w:szCs w:val="20"/>
                <w:lang w:val="fr-FR"/>
              </w:rPr>
              <w:t>zones humides</w:t>
            </w:r>
            <w:r w:rsidRPr="00EE01B4">
              <w:rPr>
                <w:sz w:val="20"/>
                <w:szCs w:val="20"/>
                <w:lang w:val="fr-FR"/>
              </w:rPr>
              <w:fldChar w:fldCharType="end"/>
            </w:r>
          </w:p>
        </w:tc>
        <w:tc>
          <w:tcPr>
            <w:tcW w:w="2168" w:type="dxa"/>
          </w:tcPr>
          <w:p w:rsidR="005B2BD3" w:rsidRPr="00EE01B4" w:rsidRDefault="005B2BD3" w:rsidP="00B5352E">
            <w:pPr>
              <w:rPr>
                <w:rFonts w:cs="Arial"/>
                <w:sz w:val="20"/>
                <w:szCs w:val="20"/>
                <w:lang w:val="fr-FR"/>
              </w:rPr>
            </w:pPr>
            <w:r w:rsidRPr="00EE01B4">
              <w:rPr>
                <w:rFonts w:cs="Arial"/>
                <w:sz w:val="20"/>
                <w:szCs w:val="20"/>
                <w:lang w:val="fr-FR"/>
              </w:rPr>
              <w:lastRenderedPageBreak/>
              <w:t>Technique</w:t>
            </w:r>
          </w:p>
        </w:tc>
        <w:tc>
          <w:tcPr>
            <w:tcW w:w="2581" w:type="dxa"/>
          </w:tcPr>
          <w:p w:rsidR="005B2BD3" w:rsidRPr="00EE01B4" w:rsidRDefault="005B2BD3" w:rsidP="004125FC">
            <w:pPr>
              <w:rPr>
                <w:rFonts w:cs="Arial"/>
                <w:sz w:val="20"/>
                <w:szCs w:val="20"/>
                <w:lang w:val="fr-FR"/>
              </w:rPr>
            </w:pPr>
            <w:r w:rsidRPr="00EE01B4">
              <w:rPr>
                <w:rFonts w:cs="Arial"/>
                <w:sz w:val="20"/>
                <w:szCs w:val="20"/>
                <w:lang w:val="fr-FR"/>
              </w:rPr>
              <w:t>Praticiens</w:t>
            </w:r>
          </w:p>
        </w:tc>
        <w:tc>
          <w:tcPr>
            <w:tcW w:w="1259" w:type="dxa"/>
          </w:tcPr>
          <w:p w:rsidR="005B2BD3" w:rsidRPr="00EE01B4" w:rsidRDefault="005B2BD3" w:rsidP="00B5352E">
            <w:pPr>
              <w:rPr>
                <w:rFonts w:cs="Arial"/>
                <w:sz w:val="20"/>
                <w:szCs w:val="20"/>
                <w:lang w:val="fr-FR"/>
              </w:rPr>
            </w:pPr>
          </w:p>
        </w:tc>
        <w:tc>
          <w:tcPr>
            <w:tcW w:w="1259" w:type="dxa"/>
          </w:tcPr>
          <w:p w:rsidR="005B2BD3" w:rsidRPr="00EE01B4" w:rsidRDefault="005B2BD3" w:rsidP="00B5352E">
            <w:pPr>
              <w:rPr>
                <w:rFonts w:cs="Arial"/>
                <w:sz w:val="20"/>
                <w:szCs w:val="20"/>
                <w:lang w:val="fr-FR"/>
              </w:rPr>
            </w:pPr>
            <w:r w:rsidRPr="00EE01B4">
              <w:rPr>
                <w:sz w:val="20"/>
                <w:szCs w:val="20"/>
                <w:lang w:val="fr-FR"/>
              </w:rPr>
              <w:t>EFS</w:t>
            </w:r>
          </w:p>
        </w:tc>
        <w:tc>
          <w:tcPr>
            <w:tcW w:w="5296" w:type="dxa"/>
          </w:tcPr>
          <w:p w:rsidR="005B2BD3" w:rsidRPr="00EE01B4" w:rsidRDefault="005B2BD3" w:rsidP="00BD2343">
            <w:pPr>
              <w:spacing w:after="40"/>
              <w:rPr>
                <w:sz w:val="20"/>
                <w:szCs w:val="20"/>
                <w:lang w:val="fr-FR"/>
              </w:rPr>
            </w:pPr>
            <w:r w:rsidRPr="00EE01B4">
              <w:rPr>
                <w:rFonts w:cs="Arial"/>
                <w:sz w:val="20"/>
                <w:szCs w:val="20"/>
                <w:u w:val="single"/>
                <w:lang w:val="fr-FR"/>
              </w:rPr>
              <w:t>Résumé</w:t>
            </w:r>
            <w:r w:rsidRPr="00EE01B4">
              <w:rPr>
                <w:rFonts w:cs="Arial"/>
                <w:sz w:val="20"/>
                <w:szCs w:val="20"/>
                <w:lang w:val="fr-FR"/>
              </w:rPr>
              <w:t xml:space="preserve"> : L’objectif premier de cette Note d’information est de sensibiliser, à travers tous les secteurs, aux avantages </w:t>
            </w:r>
            <w:r w:rsidRPr="00EE01B4">
              <w:rPr>
                <w:rFonts w:cs="Arial"/>
                <w:sz w:val="20"/>
                <w:szCs w:val="20"/>
                <w:lang w:val="fr-FR"/>
              </w:rPr>
              <w:lastRenderedPageBreak/>
              <w:t xml:space="preserve">potentiels de la restauration des zones humides. Son intention est de catalyser les efforts qui luttent contre la perte et la dégradation des zones humides, de renforcer le fonctionnement des écosystèmes et ainsi d’augmenter les avantages des zones humides. En mettant en lumière les liens avec la documentation Ramsar existante, cette Note d’information élabore à partir des orientations existantes sur la restauration des zones humides tout en se référant à d’autres exemples de documents publiés… </w:t>
            </w:r>
            <w:r w:rsidRPr="00EE01B4">
              <w:rPr>
                <w:sz w:val="20"/>
                <w:szCs w:val="20"/>
                <w:lang w:val="fr-FR"/>
              </w:rPr>
              <w:t xml:space="preserve"> </w:t>
            </w:r>
          </w:p>
        </w:tc>
      </w:tr>
      <w:tr w:rsidR="005B2BD3" w:rsidRPr="00EE01B4" w:rsidTr="009E2D28">
        <w:tc>
          <w:tcPr>
            <w:tcW w:w="3051" w:type="dxa"/>
          </w:tcPr>
          <w:p w:rsidR="005B2BD3" w:rsidRPr="00EE01B4" w:rsidRDefault="00DF180B" w:rsidP="006147DB">
            <w:pPr>
              <w:spacing w:after="40"/>
              <w:rPr>
                <w:sz w:val="20"/>
                <w:szCs w:val="20"/>
                <w:lang w:val="en-GB"/>
              </w:rPr>
            </w:pPr>
            <w:hyperlink r:id="rId181" w:history="1">
              <w:r w:rsidR="005B2BD3" w:rsidRPr="00EE01B4">
                <w:rPr>
                  <w:rStyle w:val="Hyperlink"/>
                  <w:sz w:val="20"/>
                  <w:szCs w:val="20"/>
                  <w:lang w:val="en-GB"/>
                </w:rPr>
                <w:t xml:space="preserve">Note </w:t>
              </w:r>
              <w:proofErr w:type="spellStart"/>
              <w:r w:rsidR="005B2BD3" w:rsidRPr="00EE01B4">
                <w:rPr>
                  <w:rStyle w:val="Hyperlink"/>
                  <w:sz w:val="20"/>
                  <w:szCs w:val="20"/>
                  <w:lang w:val="en-GB"/>
                </w:rPr>
                <w:t>d’information</w:t>
              </w:r>
              <w:proofErr w:type="spellEnd"/>
              <w:r w:rsidR="005B2BD3" w:rsidRPr="00EE01B4">
                <w:rPr>
                  <w:rStyle w:val="Hyperlink"/>
                  <w:sz w:val="20"/>
                  <w:szCs w:val="20"/>
                  <w:lang w:val="en-GB"/>
                </w:rPr>
                <w:t xml:space="preserve"> du GEST n</w:t>
              </w:r>
              <w:r w:rsidR="005B2BD3" w:rsidRPr="00EE01B4">
                <w:rPr>
                  <w:rStyle w:val="Hyperlink"/>
                  <w:sz w:val="20"/>
                  <w:szCs w:val="20"/>
                  <w:vertAlign w:val="superscript"/>
                  <w:lang w:val="en-GB"/>
                </w:rPr>
                <w:t>o </w:t>
              </w:r>
              <w:r w:rsidR="005B2BD3" w:rsidRPr="00EE01B4">
                <w:rPr>
                  <w:rStyle w:val="Hyperlink"/>
                  <w:sz w:val="20"/>
                  <w:szCs w:val="20"/>
                  <w:lang w:val="en-GB"/>
                </w:rPr>
                <w:t>5: Evaluating the risk to Ramsar Sites from climate change induced sea level rise</w:t>
              </w:r>
            </w:hyperlink>
          </w:p>
        </w:tc>
        <w:tc>
          <w:tcPr>
            <w:tcW w:w="2168" w:type="dxa"/>
          </w:tcPr>
          <w:p w:rsidR="005B2BD3" w:rsidRPr="00EE01B4" w:rsidRDefault="005B2BD3" w:rsidP="00E50363">
            <w:pPr>
              <w:rPr>
                <w:rFonts w:cs="Arial"/>
                <w:sz w:val="20"/>
                <w:szCs w:val="20"/>
                <w:lang w:val="fr-FR"/>
              </w:rPr>
            </w:pPr>
            <w:r w:rsidRPr="00EE01B4">
              <w:rPr>
                <w:rFonts w:cs="Arial"/>
                <w:sz w:val="20"/>
                <w:szCs w:val="20"/>
                <w:lang w:val="fr-FR"/>
              </w:rPr>
              <w:t>Scientifique/ Technique</w:t>
            </w:r>
          </w:p>
        </w:tc>
        <w:tc>
          <w:tcPr>
            <w:tcW w:w="2581" w:type="dxa"/>
          </w:tcPr>
          <w:p w:rsidR="005B2BD3" w:rsidRPr="00EE01B4" w:rsidRDefault="005B2BD3" w:rsidP="00E50363">
            <w:pPr>
              <w:rPr>
                <w:rFonts w:cs="Arial"/>
                <w:sz w:val="20"/>
                <w:szCs w:val="20"/>
                <w:lang w:val="fr-FR"/>
              </w:rPr>
            </w:pPr>
            <w:r w:rsidRPr="00EE01B4">
              <w:rPr>
                <w:rFonts w:cs="Arial"/>
                <w:sz w:val="20"/>
                <w:szCs w:val="20"/>
                <w:lang w:val="fr-FR"/>
              </w:rPr>
              <w:t>Scientifiques, praticiens</w:t>
            </w:r>
          </w:p>
        </w:tc>
        <w:tc>
          <w:tcPr>
            <w:tcW w:w="1259" w:type="dxa"/>
          </w:tcPr>
          <w:p w:rsidR="005B2BD3" w:rsidRPr="00EE01B4" w:rsidRDefault="005B2BD3" w:rsidP="00B5352E">
            <w:pPr>
              <w:rPr>
                <w:rFonts w:cs="Arial"/>
                <w:sz w:val="20"/>
                <w:szCs w:val="20"/>
                <w:lang w:val="fr-FR"/>
              </w:rPr>
            </w:pPr>
          </w:p>
        </w:tc>
        <w:tc>
          <w:tcPr>
            <w:tcW w:w="1259" w:type="dxa"/>
          </w:tcPr>
          <w:p w:rsidR="005B2BD3" w:rsidRPr="00EE01B4" w:rsidRDefault="005B2BD3" w:rsidP="00B5352E">
            <w:pPr>
              <w:spacing w:after="40"/>
              <w:rPr>
                <w:sz w:val="20"/>
                <w:szCs w:val="20"/>
                <w:lang w:val="fr-FR"/>
              </w:rPr>
            </w:pPr>
            <w:r w:rsidRPr="00EE01B4">
              <w:rPr>
                <w:sz w:val="20"/>
                <w:szCs w:val="20"/>
                <w:lang w:val="fr-FR"/>
              </w:rPr>
              <w:t>E</w:t>
            </w:r>
          </w:p>
        </w:tc>
        <w:tc>
          <w:tcPr>
            <w:tcW w:w="5296" w:type="dxa"/>
          </w:tcPr>
          <w:p w:rsidR="005B2BD3" w:rsidRPr="00EE01B4" w:rsidRDefault="005B2BD3" w:rsidP="006147DB">
            <w:pPr>
              <w:spacing w:after="40"/>
              <w:rPr>
                <w:sz w:val="20"/>
                <w:szCs w:val="20"/>
                <w:lang w:val="fr-FR"/>
              </w:rPr>
            </w:pPr>
            <w:r w:rsidRPr="00EE01B4">
              <w:rPr>
                <w:rFonts w:cs="Arial"/>
                <w:sz w:val="20"/>
                <w:szCs w:val="20"/>
                <w:u w:val="single"/>
                <w:lang w:val="fr-FR"/>
              </w:rPr>
              <w:t>Résumé</w:t>
            </w:r>
            <w:r w:rsidRPr="00EE01B4">
              <w:rPr>
                <w:rFonts w:cs="Arial"/>
                <w:sz w:val="20"/>
                <w:szCs w:val="20"/>
                <w:lang w:val="fr-FR"/>
              </w:rPr>
              <w:t xml:space="preserve"> : Cette Note d’information et le Service de cartographie web et ensembles de données, élaborés par le </w:t>
            </w:r>
            <w:r w:rsidRPr="00EE01B4">
              <w:rPr>
                <w:sz w:val="20"/>
                <w:szCs w:val="20"/>
                <w:lang w:val="fr-FR"/>
              </w:rPr>
              <w:t xml:space="preserve">Center for International </w:t>
            </w:r>
            <w:proofErr w:type="spellStart"/>
            <w:r w:rsidRPr="00EE01B4">
              <w:rPr>
                <w:sz w:val="20"/>
                <w:szCs w:val="20"/>
                <w:lang w:val="fr-FR"/>
              </w:rPr>
              <w:t>Earth</w:t>
            </w:r>
            <w:proofErr w:type="spellEnd"/>
            <w:r w:rsidRPr="00EE01B4">
              <w:rPr>
                <w:sz w:val="20"/>
                <w:szCs w:val="20"/>
                <w:lang w:val="fr-FR"/>
              </w:rPr>
              <w:t xml:space="preserve"> Science Information Network (CIESIN) de l’Université Columbia, fournit une évaluation préliminaire sur les risques pour les zones humides côtières inscrites sur la Liste des zones humides d’importance internationale (Sites Ramsar) de la Convention de Ramsar sur les zones humides en raison de l’élévation du niveau des mers due aux changements climatiques… Ce rapport représente une excellente évaluation des risques. </w:t>
            </w:r>
          </w:p>
        </w:tc>
      </w:tr>
      <w:tr w:rsidR="005B2BD3" w:rsidRPr="00EE01B4" w:rsidTr="009E2D28">
        <w:tc>
          <w:tcPr>
            <w:tcW w:w="3051" w:type="dxa"/>
          </w:tcPr>
          <w:p w:rsidR="005B2BD3" w:rsidRPr="00EE01B4" w:rsidRDefault="00DF180B" w:rsidP="006147DB">
            <w:pPr>
              <w:spacing w:after="40"/>
              <w:rPr>
                <w:sz w:val="20"/>
                <w:szCs w:val="20"/>
                <w:lang w:val="en-GB"/>
              </w:rPr>
            </w:pPr>
            <w:hyperlink r:id="rId182" w:history="1">
              <w:r w:rsidR="005B2BD3" w:rsidRPr="00EE01B4">
                <w:rPr>
                  <w:rStyle w:val="Hyperlink"/>
                  <w:sz w:val="20"/>
                  <w:szCs w:val="20"/>
                  <w:lang w:val="en-GB"/>
                </w:rPr>
                <w:t>Rapport technique Ramsar n</w:t>
              </w:r>
              <w:r w:rsidR="005B2BD3" w:rsidRPr="00EE01B4">
                <w:rPr>
                  <w:rStyle w:val="Hyperlink"/>
                  <w:sz w:val="20"/>
                  <w:szCs w:val="20"/>
                  <w:vertAlign w:val="superscript"/>
                  <w:lang w:val="en-GB"/>
                </w:rPr>
                <w:t>o</w:t>
              </w:r>
              <w:r w:rsidR="005B2BD3" w:rsidRPr="00EE01B4">
                <w:rPr>
                  <w:rStyle w:val="Hyperlink"/>
                  <w:sz w:val="20"/>
                  <w:szCs w:val="20"/>
                  <w:lang w:val="en-GB"/>
                </w:rPr>
                <w:t> 5: A Framework for assessing the vulnerability of wetlands to climate change</w:t>
              </w:r>
            </w:hyperlink>
          </w:p>
        </w:tc>
        <w:tc>
          <w:tcPr>
            <w:tcW w:w="2168" w:type="dxa"/>
          </w:tcPr>
          <w:p w:rsidR="005B2BD3" w:rsidRPr="00EE01B4" w:rsidRDefault="005B2BD3" w:rsidP="00B5352E">
            <w:pPr>
              <w:rPr>
                <w:rFonts w:cs="Arial"/>
                <w:sz w:val="20"/>
                <w:szCs w:val="20"/>
                <w:lang w:val="fr-FR"/>
              </w:rPr>
            </w:pPr>
            <w:r w:rsidRPr="00EE01B4">
              <w:rPr>
                <w:rFonts w:cs="Arial"/>
                <w:sz w:val="20"/>
                <w:szCs w:val="20"/>
                <w:lang w:val="fr-FR"/>
              </w:rPr>
              <w:t>Technique</w:t>
            </w:r>
          </w:p>
        </w:tc>
        <w:tc>
          <w:tcPr>
            <w:tcW w:w="2581" w:type="dxa"/>
          </w:tcPr>
          <w:p w:rsidR="005B2BD3" w:rsidRPr="00EE01B4" w:rsidRDefault="005B2BD3" w:rsidP="00B5352E">
            <w:pPr>
              <w:rPr>
                <w:rFonts w:cs="Arial"/>
                <w:sz w:val="20"/>
                <w:szCs w:val="20"/>
                <w:lang w:val="fr-FR"/>
              </w:rPr>
            </w:pPr>
            <w:r w:rsidRPr="00EE01B4">
              <w:rPr>
                <w:rFonts w:cs="Arial"/>
                <w:sz w:val="20"/>
                <w:szCs w:val="20"/>
                <w:lang w:val="fr-FR"/>
              </w:rPr>
              <w:t>Praticiens</w:t>
            </w:r>
          </w:p>
        </w:tc>
        <w:tc>
          <w:tcPr>
            <w:tcW w:w="1259" w:type="dxa"/>
          </w:tcPr>
          <w:p w:rsidR="005B2BD3" w:rsidRPr="00EE01B4" w:rsidRDefault="005B2BD3" w:rsidP="00B5352E">
            <w:pPr>
              <w:rPr>
                <w:rFonts w:cs="Arial"/>
                <w:sz w:val="20"/>
                <w:szCs w:val="20"/>
                <w:lang w:val="fr-FR"/>
              </w:rPr>
            </w:pPr>
          </w:p>
        </w:tc>
        <w:tc>
          <w:tcPr>
            <w:tcW w:w="1259" w:type="dxa"/>
          </w:tcPr>
          <w:p w:rsidR="005B2BD3" w:rsidRPr="00EE01B4" w:rsidRDefault="005B2BD3" w:rsidP="00B5352E">
            <w:pPr>
              <w:spacing w:after="40"/>
              <w:rPr>
                <w:sz w:val="20"/>
                <w:szCs w:val="20"/>
                <w:lang w:val="fr-FR"/>
              </w:rPr>
            </w:pPr>
            <w:r w:rsidRPr="00EE01B4">
              <w:rPr>
                <w:sz w:val="20"/>
                <w:szCs w:val="20"/>
                <w:lang w:val="fr-FR"/>
              </w:rPr>
              <w:t>E</w:t>
            </w:r>
          </w:p>
        </w:tc>
        <w:tc>
          <w:tcPr>
            <w:tcW w:w="5296" w:type="dxa"/>
          </w:tcPr>
          <w:p w:rsidR="005B2BD3" w:rsidRPr="00EE01B4" w:rsidRDefault="005B2BD3" w:rsidP="006147DB">
            <w:pPr>
              <w:spacing w:after="40"/>
              <w:rPr>
                <w:sz w:val="20"/>
                <w:szCs w:val="20"/>
                <w:lang w:val="fr-FR"/>
              </w:rPr>
            </w:pPr>
            <w:r w:rsidRPr="00EE01B4">
              <w:rPr>
                <w:rFonts w:cs="Arial"/>
                <w:sz w:val="20"/>
                <w:szCs w:val="20"/>
                <w:u w:val="single"/>
                <w:lang w:val="fr-FR"/>
              </w:rPr>
              <w:t>Résumé</w:t>
            </w:r>
            <w:r w:rsidRPr="00EE01B4">
              <w:rPr>
                <w:rFonts w:cs="Arial"/>
                <w:sz w:val="20"/>
                <w:szCs w:val="20"/>
                <w:lang w:val="fr-FR"/>
              </w:rPr>
              <w:t xml:space="preserve"> : Ce rapport présente un cadre pour déterminer la vulnérabilité biophysique des zones humides aux changements climatiques… Il aborde, sans nécessairement entre dans les détails, le concept associé de vulnérabilité sociale souvent utilisé pour décrire l’ensemble de facteurs socioéconomiques déterminant la capacité des peuples de supporter les stress ou les changements… Les concepts et l’information spécifique nécessaire pour déterminer la vulnérabilité d’une zone humide aux changements climatiques (et d’autres pressions) sont présentés dans un cadre pouvant servir </w:t>
            </w:r>
            <w:r w:rsidRPr="00EE01B4">
              <w:rPr>
                <w:sz w:val="20"/>
                <w:szCs w:val="20"/>
                <w:lang w:val="fr-FR"/>
              </w:rPr>
              <w:t xml:space="preserve">aux évaluations quantitatives et qualitatives pour lesquelles l’usager a besoin de déterminer l’étendue de l’information spécifique requise pour différentes situations biophysiques et sociales. </w:t>
            </w:r>
          </w:p>
        </w:tc>
      </w:tr>
      <w:tr w:rsidR="005B2BD3" w:rsidRPr="00EE01B4" w:rsidTr="005F520D">
        <w:tc>
          <w:tcPr>
            <w:tcW w:w="15614" w:type="dxa"/>
            <w:gridSpan w:val="6"/>
            <w:shd w:val="clear" w:color="auto" w:fill="F2F2F2" w:themeFill="background1" w:themeFillShade="F2"/>
          </w:tcPr>
          <w:p w:rsidR="005B2BD3" w:rsidRPr="00EE01B4" w:rsidRDefault="005B2BD3" w:rsidP="003207C6">
            <w:pPr>
              <w:spacing w:after="40"/>
              <w:jc w:val="center"/>
              <w:rPr>
                <w:b/>
                <w:sz w:val="20"/>
                <w:szCs w:val="20"/>
                <w:lang w:val="fr-FR"/>
              </w:rPr>
            </w:pPr>
            <w:r w:rsidRPr="00EE01B4">
              <w:rPr>
                <w:b/>
                <w:sz w:val="20"/>
                <w:szCs w:val="20"/>
                <w:lang w:val="fr-FR"/>
              </w:rPr>
              <w:t>Autres orientations</w:t>
            </w:r>
          </w:p>
        </w:tc>
      </w:tr>
      <w:tr w:rsidR="007F2A42" w:rsidRPr="00EE01B4" w:rsidTr="00715C48">
        <w:tc>
          <w:tcPr>
            <w:tcW w:w="15614" w:type="dxa"/>
            <w:gridSpan w:val="6"/>
            <w:shd w:val="clear" w:color="auto" w:fill="FBD4B4" w:themeFill="accent6" w:themeFillTint="66"/>
          </w:tcPr>
          <w:p w:rsidR="007F2A42" w:rsidRPr="00EE01B4" w:rsidRDefault="007F2A42" w:rsidP="00B5352E">
            <w:pPr>
              <w:spacing w:after="40"/>
              <w:rPr>
                <w:sz w:val="20"/>
                <w:szCs w:val="20"/>
                <w:lang w:val="fr-FR"/>
              </w:rPr>
            </w:pPr>
            <w:r w:rsidRPr="00EE01B4">
              <w:rPr>
                <w:b/>
                <w:sz w:val="20"/>
                <w:szCs w:val="20"/>
                <w:lang w:val="fr-FR"/>
              </w:rPr>
              <w:t>Mise</w:t>
            </w:r>
            <w:r w:rsidRPr="00EE01B4">
              <w:rPr>
                <w:b/>
                <w:sz w:val="20"/>
                <w:szCs w:val="20"/>
                <w:lang w:val="en-AU"/>
              </w:rPr>
              <w:t xml:space="preserve"> à jour 2016-2019</w:t>
            </w:r>
          </w:p>
        </w:tc>
      </w:tr>
      <w:tr w:rsidR="007F2A42" w:rsidRPr="00EE01B4" w:rsidTr="009E2D28">
        <w:tc>
          <w:tcPr>
            <w:tcW w:w="3051" w:type="dxa"/>
          </w:tcPr>
          <w:p w:rsidR="007F2A42" w:rsidRPr="00EE01B4" w:rsidRDefault="00DF180B" w:rsidP="007F2A42">
            <w:pPr>
              <w:rPr>
                <w:sz w:val="20"/>
                <w:szCs w:val="20"/>
                <w:lang w:val="en-GB"/>
              </w:rPr>
            </w:pPr>
            <w:hyperlink r:id="rId183" w:history="1">
              <w:r w:rsidR="007F2A42" w:rsidRPr="00EE01B4">
                <w:rPr>
                  <w:rStyle w:val="Hyperlink"/>
                  <w:sz w:val="20"/>
                  <w:szCs w:val="20"/>
                  <w:lang w:val="en-GB"/>
                </w:rPr>
                <w:t>Briefing Note: 30 Good Reasons to Safeguard Peatlands!</w:t>
              </w:r>
            </w:hyperlink>
            <w:r w:rsidR="007F2A42" w:rsidRPr="00EE01B4">
              <w:rPr>
                <w:sz w:val="20"/>
                <w:szCs w:val="20"/>
                <w:lang w:val="en-GB"/>
              </w:rPr>
              <w:t xml:space="preserve"> </w:t>
            </w:r>
          </w:p>
        </w:tc>
        <w:tc>
          <w:tcPr>
            <w:tcW w:w="2168" w:type="dxa"/>
          </w:tcPr>
          <w:p w:rsidR="007F2A42" w:rsidRPr="00EE01B4" w:rsidRDefault="007F2A42" w:rsidP="007F2A42">
            <w:pPr>
              <w:rPr>
                <w:rFonts w:cs="Arial"/>
                <w:sz w:val="20"/>
                <w:szCs w:val="20"/>
                <w:lang w:val="en-GB"/>
              </w:rPr>
            </w:pPr>
          </w:p>
        </w:tc>
        <w:tc>
          <w:tcPr>
            <w:tcW w:w="2581" w:type="dxa"/>
          </w:tcPr>
          <w:p w:rsidR="007F2A42" w:rsidRPr="00EE01B4" w:rsidRDefault="007F2A42" w:rsidP="007F2A42">
            <w:pPr>
              <w:rPr>
                <w:rFonts w:cs="Arial"/>
                <w:sz w:val="20"/>
                <w:szCs w:val="20"/>
                <w:lang w:val="en-GB"/>
              </w:rPr>
            </w:pPr>
          </w:p>
        </w:tc>
        <w:tc>
          <w:tcPr>
            <w:tcW w:w="1259" w:type="dxa"/>
          </w:tcPr>
          <w:p w:rsidR="007F2A42" w:rsidRPr="00EE01B4" w:rsidRDefault="007F2A42" w:rsidP="007F2A42">
            <w:pPr>
              <w:rPr>
                <w:rFonts w:cs="Arial"/>
                <w:sz w:val="20"/>
                <w:szCs w:val="20"/>
                <w:lang w:val="en-GB"/>
              </w:rPr>
            </w:pPr>
          </w:p>
        </w:tc>
        <w:tc>
          <w:tcPr>
            <w:tcW w:w="1259" w:type="dxa"/>
          </w:tcPr>
          <w:p w:rsidR="007F2A42" w:rsidRPr="00EE01B4" w:rsidRDefault="007F2A42" w:rsidP="007F2A42">
            <w:pPr>
              <w:rPr>
                <w:sz w:val="20"/>
                <w:szCs w:val="20"/>
              </w:rPr>
            </w:pPr>
            <w:r w:rsidRPr="00EE01B4">
              <w:rPr>
                <w:sz w:val="20"/>
                <w:szCs w:val="20"/>
              </w:rPr>
              <w:t>E</w:t>
            </w:r>
          </w:p>
        </w:tc>
        <w:tc>
          <w:tcPr>
            <w:tcW w:w="5296" w:type="dxa"/>
          </w:tcPr>
          <w:p w:rsidR="007F2A42" w:rsidRPr="00EE01B4" w:rsidRDefault="007F2A42" w:rsidP="007F2A42">
            <w:pPr>
              <w:rPr>
                <w:sz w:val="20"/>
                <w:szCs w:val="20"/>
                <w:u w:val="single"/>
                <w:lang w:val="fr-FR"/>
              </w:rPr>
            </w:pPr>
            <w:r w:rsidRPr="00EE01B4">
              <w:rPr>
                <w:sz w:val="20"/>
                <w:szCs w:val="20"/>
                <w:u w:val="single"/>
                <w:lang w:val="fr-FR"/>
              </w:rPr>
              <w:t xml:space="preserve">Agence fédérale allemande pour la conservation de la nature), Greifswald Mire Centre, Secrétariat de la Convention de </w:t>
            </w:r>
            <w:r w:rsidRPr="00EE01B4">
              <w:rPr>
                <w:sz w:val="20"/>
                <w:szCs w:val="20"/>
                <w:u w:val="single"/>
                <w:lang w:val="fr-FR"/>
              </w:rPr>
              <w:lastRenderedPageBreak/>
              <w:t>Ramsar et ministère de l’Environnement et de l’Alimentation du Danemark</w:t>
            </w:r>
          </w:p>
          <w:p w:rsidR="007F2A42" w:rsidRPr="00EE01B4" w:rsidRDefault="007F2A42" w:rsidP="007F2A42">
            <w:pPr>
              <w:rPr>
                <w:sz w:val="20"/>
                <w:szCs w:val="20"/>
                <w:lang w:val="fr-FR"/>
              </w:rPr>
            </w:pPr>
            <w:r w:rsidRPr="00EE01B4">
              <w:rPr>
                <w:sz w:val="20"/>
                <w:szCs w:val="20"/>
                <w:u w:val="single"/>
                <w:lang w:val="fr-FR"/>
              </w:rPr>
              <w:t>Résumé</w:t>
            </w:r>
            <w:r w:rsidRPr="00EE01B4">
              <w:rPr>
                <w:sz w:val="20"/>
                <w:szCs w:val="20"/>
                <w:lang w:val="fr-FR"/>
              </w:rPr>
              <w:t xml:space="preserve"> : Cette note d’information décrit les résultats de l’Atelier international intitulé « Conservation et utilisation rationnelle des tourbières dans le contexte du changement climatique : Une Contribution à la mise en œuvre de la Convention de Ramsar »</w:t>
            </w:r>
          </w:p>
        </w:tc>
      </w:tr>
      <w:tr w:rsidR="007F2A42" w:rsidRPr="00EE01B4" w:rsidTr="009E2D28">
        <w:tc>
          <w:tcPr>
            <w:tcW w:w="3051" w:type="dxa"/>
          </w:tcPr>
          <w:p w:rsidR="007F2A42" w:rsidRPr="00EE01B4" w:rsidRDefault="00DF180B" w:rsidP="007F2A42">
            <w:pPr>
              <w:rPr>
                <w:sz w:val="20"/>
                <w:szCs w:val="20"/>
                <w:lang w:val="en-GB"/>
              </w:rPr>
            </w:pPr>
            <w:hyperlink r:id="rId184" w:history="1">
              <w:r w:rsidR="007F2A42" w:rsidRPr="00EE01B4">
                <w:rPr>
                  <w:rStyle w:val="Hyperlink"/>
                  <w:sz w:val="20"/>
                  <w:szCs w:val="20"/>
                  <w:lang w:val="en-GB"/>
                </w:rPr>
                <w:t>Outlook on climate change adaptation in the Carpathian mountains</w:t>
              </w:r>
            </w:hyperlink>
          </w:p>
        </w:tc>
        <w:tc>
          <w:tcPr>
            <w:tcW w:w="2168" w:type="dxa"/>
          </w:tcPr>
          <w:p w:rsidR="007F2A42" w:rsidRPr="00EE01B4" w:rsidRDefault="007F2A42" w:rsidP="007F2A42">
            <w:pPr>
              <w:rPr>
                <w:rFonts w:cs="Arial"/>
                <w:sz w:val="20"/>
                <w:szCs w:val="20"/>
                <w:lang w:val="en-GB"/>
              </w:rPr>
            </w:pPr>
          </w:p>
        </w:tc>
        <w:tc>
          <w:tcPr>
            <w:tcW w:w="2581" w:type="dxa"/>
          </w:tcPr>
          <w:p w:rsidR="007F2A42" w:rsidRPr="00EE01B4" w:rsidRDefault="007F2A42" w:rsidP="007F2A42">
            <w:pPr>
              <w:rPr>
                <w:rFonts w:cs="Arial"/>
                <w:sz w:val="20"/>
                <w:szCs w:val="20"/>
                <w:lang w:val="en-GB"/>
              </w:rPr>
            </w:pPr>
          </w:p>
        </w:tc>
        <w:tc>
          <w:tcPr>
            <w:tcW w:w="1259" w:type="dxa"/>
          </w:tcPr>
          <w:p w:rsidR="007F2A42" w:rsidRPr="00EE01B4" w:rsidRDefault="007F2A42" w:rsidP="007F2A42">
            <w:pPr>
              <w:rPr>
                <w:rFonts w:cs="Arial"/>
                <w:sz w:val="20"/>
                <w:szCs w:val="20"/>
                <w:lang w:val="en-GB"/>
              </w:rPr>
            </w:pPr>
          </w:p>
        </w:tc>
        <w:tc>
          <w:tcPr>
            <w:tcW w:w="1259" w:type="dxa"/>
          </w:tcPr>
          <w:p w:rsidR="007F2A42" w:rsidRPr="00EE01B4" w:rsidRDefault="007F2A42" w:rsidP="007F2A42">
            <w:pPr>
              <w:rPr>
                <w:sz w:val="20"/>
                <w:szCs w:val="20"/>
              </w:rPr>
            </w:pPr>
            <w:r w:rsidRPr="00EE01B4">
              <w:rPr>
                <w:sz w:val="20"/>
                <w:szCs w:val="20"/>
              </w:rPr>
              <w:t>E</w:t>
            </w:r>
          </w:p>
        </w:tc>
        <w:tc>
          <w:tcPr>
            <w:tcW w:w="5296" w:type="dxa"/>
          </w:tcPr>
          <w:p w:rsidR="007F2A42" w:rsidRPr="00EE01B4" w:rsidRDefault="007F2A42" w:rsidP="007F2A42">
            <w:pPr>
              <w:rPr>
                <w:sz w:val="20"/>
                <w:szCs w:val="20"/>
                <w:lang w:val="fr-FR"/>
              </w:rPr>
            </w:pPr>
            <w:r w:rsidRPr="00EE01B4">
              <w:rPr>
                <w:sz w:val="20"/>
                <w:szCs w:val="20"/>
                <w:lang w:val="fr-FR"/>
              </w:rPr>
              <w:t xml:space="preserve">PNUE, GRID Arendal et </w:t>
            </w:r>
            <w:proofErr w:type="spellStart"/>
            <w:r w:rsidRPr="00EE01B4">
              <w:rPr>
                <w:sz w:val="20"/>
                <w:szCs w:val="20"/>
                <w:lang w:val="fr-FR"/>
              </w:rPr>
              <w:t>Eurac</w:t>
            </w:r>
            <w:proofErr w:type="spellEnd"/>
            <w:r w:rsidRPr="00EE01B4">
              <w:rPr>
                <w:sz w:val="20"/>
                <w:szCs w:val="20"/>
                <w:lang w:val="fr-FR"/>
              </w:rPr>
              <w:t xml:space="preserve"> </w:t>
            </w:r>
            <w:proofErr w:type="spellStart"/>
            <w:r w:rsidRPr="00EE01B4">
              <w:rPr>
                <w:sz w:val="20"/>
                <w:szCs w:val="20"/>
                <w:lang w:val="fr-FR"/>
              </w:rPr>
              <w:t>Research</w:t>
            </w:r>
            <w:proofErr w:type="spellEnd"/>
          </w:p>
          <w:p w:rsidR="007F2A42" w:rsidRPr="00EE01B4" w:rsidRDefault="007F2A42" w:rsidP="007F2A42">
            <w:pPr>
              <w:rPr>
                <w:sz w:val="20"/>
                <w:szCs w:val="20"/>
                <w:lang w:val="fr-FR"/>
              </w:rPr>
            </w:pPr>
            <w:r w:rsidRPr="00EE01B4">
              <w:rPr>
                <w:sz w:val="20"/>
                <w:szCs w:val="20"/>
                <w:u w:val="single"/>
                <w:lang w:val="fr-FR"/>
              </w:rPr>
              <w:t>Résumé :</w:t>
            </w:r>
            <w:r w:rsidRPr="00EE01B4">
              <w:rPr>
                <w:sz w:val="20"/>
                <w:szCs w:val="20"/>
                <w:lang w:val="fr-FR"/>
              </w:rPr>
              <w:t xml:space="preserve"> Cette perspective est une synthèse et une analyse des réponses existantes en matière d’adaptation au changement climatique dans les Carpates, et de la mesure dans laquelle elles traitent des principaux facteurs de risques climatiques.</w:t>
            </w:r>
          </w:p>
        </w:tc>
      </w:tr>
      <w:tr w:rsidR="007F2A42" w:rsidRPr="00EE01B4" w:rsidTr="009E2D28">
        <w:tc>
          <w:tcPr>
            <w:tcW w:w="3051" w:type="dxa"/>
          </w:tcPr>
          <w:p w:rsidR="007F2A42" w:rsidRPr="00EE01B4" w:rsidRDefault="00DF180B" w:rsidP="007F2A42">
            <w:pPr>
              <w:rPr>
                <w:sz w:val="20"/>
                <w:szCs w:val="20"/>
                <w:lang w:val="fr-FR"/>
              </w:rPr>
            </w:pPr>
            <w:hyperlink r:id="rId185" w:history="1">
              <w:r w:rsidR="007F2A42" w:rsidRPr="00EE01B4">
                <w:rPr>
                  <w:rStyle w:val="Hyperlink"/>
                  <w:sz w:val="20"/>
                  <w:szCs w:val="20"/>
                  <w:lang w:val="fr-FR"/>
                </w:rPr>
                <w:t>De la fumée sur l’eau— lutter contre les menaces mondiales liée à la destruction et à la dégradation des tourbières. Évaluation du PNUE en vue d’une intervention rapide</w:t>
              </w:r>
            </w:hyperlink>
            <w:r w:rsidR="007F2A42" w:rsidRPr="00EE01B4">
              <w:rPr>
                <w:sz w:val="20"/>
                <w:szCs w:val="20"/>
                <w:lang w:val="fr-FR"/>
              </w:rPr>
              <w:t xml:space="preserve"> </w:t>
            </w:r>
          </w:p>
          <w:p w:rsidR="007F2A42" w:rsidRPr="00EE01B4" w:rsidRDefault="007F2A42" w:rsidP="007F2A42">
            <w:pPr>
              <w:rPr>
                <w:sz w:val="20"/>
                <w:szCs w:val="20"/>
              </w:rPr>
            </w:pPr>
          </w:p>
        </w:tc>
        <w:tc>
          <w:tcPr>
            <w:tcW w:w="2168" w:type="dxa"/>
          </w:tcPr>
          <w:p w:rsidR="007F2A42" w:rsidRPr="00EE01B4" w:rsidRDefault="007F2A42" w:rsidP="007F2A42">
            <w:pPr>
              <w:rPr>
                <w:rFonts w:cs="Arial"/>
                <w:sz w:val="20"/>
                <w:szCs w:val="20"/>
              </w:rPr>
            </w:pPr>
          </w:p>
        </w:tc>
        <w:tc>
          <w:tcPr>
            <w:tcW w:w="2581" w:type="dxa"/>
          </w:tcPr>
          <w:p w:rsidR="007F2A42" w:rsidRPr="00EE01B4" w:rsidRDefault="007F2A42" w:rsidP="007F2A42">
            <w:pPr>
              <w:rPr>
                <w:rFonts w:cs="Arial"/>
                <w:sz w:val="20"/>
                <w:szCs w:val="20"/>
              </w:rPr>
            </w:pPr>
          </w:p>
        </w:tc>
        <w:tc>
          <w:tcPr>
            <w:tcW w:w="1259" w:type="dxa"/>
          </w:tcPr>
          <w:p w:rsidR="007F2A42" w:rsidRPr="00EE01B4" w:rsidRDefault="007F2A42" w:rsidP="007F2A42">
            <w:pPr>
              <w:rPr>
                <w:rFonts w:cs="Arial"/>
                <w:sz w:val="20"/>
                <w:szCs w:val="20"/>
              </w:rPr>
            </w:pPr>
          </w:p>
        </w:tc>
        <w:tc>
          <w:tcPr>
            <w:tcW w:w="1259" w:type="dxa"/>
          </w:tcPr>
          <w:p w:rsidR="007F2A42" w:rsidRPr="00EE01B4" w:rsidRDefault="007F2A42" w:rsidP="007F2A42">
            <w:pPr>
              <w:rPr>
                <w:sz w:val="20"/>
                <w:szCs w:val="20"/>
              </w:rPr>
            </w:pPr>
            <w:r w:rsidRPr="00EE01B4">
              <w:rPr>
                <w:sz w:val="20"/>
                <w:szCs w:val="20"/>
              </w:rPr>
              <w:t>EF</w:t>
            </w:r>
          </w:p>
        </w:tc>
        <w:tc>
          <w:tcPr>
            <w:tcW w:w="5296" w:type="dxa"/>
          </w:tcPr>
          <w:p w:rsidR="007F2A42" w:rsidRPr="00EE01B4" w:rsidRDefault="007F2A42" w:rsidP="007F2A42">
            <w:pPr>
              <w:rPr>
                <w:sz w:val="20"/>
                <w:szCs w:val="20"/>
                <w:lang w:val="fr-FR"/>
              </w:rPr>
            </w:pPr>
            <w:r w:rsidRPr="00EE01B4">
              <w:rPr>
                <w:sz w:val="20"/>
                <w:szCs w:val="20"/>
                <w:lang w:val="fr-FR"/>
              </w:rPr>
              <w:t>PNUE et GRID Arendal</w:t>
            </w:r>
          </w:p>
          <w:p w:rsidR="007F2A42" w:rsidRPr="00EE01B4" w:rsidRDefault="007F2A42" w:rsidP="007F2A42">
            <w:pPr>
              <w:rPr>
                <w:sz w:val="20"/>
                <w:szCs w:val="20"/>
                <w:lang w:val="fr-FR"/>
              </w:rPr>
            </w:pPr>
            <w:r w:rsidRPr="00EE01B4">
              <w:rPr>
                <w:sz w:val="20"/>
                <w:szCs w:val="20"/>
                <w:lang w:val="fr-FR"/>
              </w:rPr>
              <w:t xml:space="preserve">Résumé : De la fumée sur l’eau est une évaluation en vue d’une intervention rapide qui s’intéresse à l’emplacement et à l’étendue des tourbières, et aux menaces qui pèsent sur elles, ainsi qu’aux politiques visant à les gérer et à les préserver. L’objectif de cette évaluation en vue d’une intervention rapide, entreprise au nom de l’ONU Environnement et reposant sur les efforts de plus de 30 contributeurs, est de sensibiliser à l’importance des tourbières du monde entier et d’encourager des mesures immédiates afin de les préserver. </w:t>
            </w:r>
          </w:p>
        </w:tc>
      </w:tr>
      <w:tr w:rsidR="007F2A42" w:rsidRPr="00EE01B4" w:rsidTr="009E2D28">
        <w:tc>
          <w:tcPr>
            <w:tcW w:w="3051" w:type="dxa"/>
          </w:tcPr>
          <w:p w:rsidR="007F2A42" w:rsidRPr="00EE01B4" w:rsidRDefault="00DF180B" w:rsidP="007F2A42">
            <w:pPr>
              <w:rPr>
                <w:sz w:val="20"/>
                <w:szCs w:val="20"/>
                <w:lang w:val="fr-FR"/>
              </w:rPr>
            </w:pPr>
            <w:hyperlink r:id="rId186" w:history="1">
              <w:r w:rsidR="007F2A42" w:rsidRPr="00EE01B4">
                <w:rPr>
                  <w:rStyle w:val="Hyperlink"/>
                  <w:sz w:val="20"/>
                  <w:szCs w:val="20"/>
                  <w:lang w:val="fr-FR"/>
                </w:rPr>
                <w:t xml:space="preserve">Global </w:t>
              </w:r>
              <w:proofErr w:type="spellStart"/>
              <w:r w:rsidR="007F2A42" w:rsidRPr="00EE01B4">
                <w:rPr>
                  <w:rStyle w:val="Hyperlink"/>
                  <w:sz w:val="20"/>
                  <w:szCs w:val="20"/>
                  <w:lang w:val="fr-FR"/>
                </w:rPr>
                <w:t>warming</w:t>
              </w:r>
              <w:proofErr w:type="spellEnd"/>
              <w:r w:rsidR="007F2A42" w:rsidRPr="00EE01B4">
                <w:rPr>
                  <w:rStyle w:val="Hyperlink"/>
                  <w:sz w:val="20"/>
                  <w:szCs w:val="20"/>
                  <w:lang w:val="fr-FR"/>
                </w:rPr>
                <w:t xml:space="preserve"> of 1.5°C</w:t>
              </w:r>
            </w:hyperlink>
            <w:r w:rsidR="007F2A42" w:rsidRPr="00EE01B4">
              <w:rPr>
                <w:sz w:val="20"/>
                <w:szCs w:val="20"/>
                <w:lang w:val="fr-FR"/>
              </w:rPr>
              <w:t xml:space="preserve">. </w:t>
            </w:r>
          </w:p>
          <w:p w:rsidR="007F2A42" w:rsidRPr="00EE01B4" w:rsidRDefault="007F2A42" w:rsidP="007F2A42">
            <w:pPr>
              <w:rPr>
                <w:sz w:val="20"/>
                <w:szCs w:val="20"/>
                <w:lang w:val="fr-FR"/>
              </w:rPr>
            </w:pPr>
            <w:r w:rsidRPr="00EE01B4">
              <w:rPr>
                <w:sz w:val="20"/>
                <w:szCs w:val="20"/>
                <w:lang w:val="fr-FR"/>
              </w:rPr>
              <w:t>Rapport spécial du GIEC sur les effets d’un réchauffement planétaire de 1,5° C au-dessus des niveaux préindustriels et les profils d’émission de gaz à effet de serre associés, dans le cadre d’un renforcement de la réponse mondiale à la menace du changement climatique, d’un développement durable et des efforts visant à éradiquer la pauvreté</w:t>
            </w:r>
          </w:p>
        </w:tc>
        <w:tc>
          <w:tcPr>
            <w:tcW w:w="2168" w:type="dxa"/>
          </w:tcPr>
          <w:p w:rsidR="007F2A42" w:rsidRPr="00EE01B4" w:rsidRDefault="007F2A42" w:rsidP="007F2A42">
            <w:pPr>
              <w:rPr>
                <w:rFonts w:cs="Arial"/>
                <w:sz w:val="20"/>
                <w:szCs w:val="20"/>
                <w:lang w:val="fr-FR"/>
              </w:rPr>
            </w:pPr>
          </w:p>
        </w:tc>
        <w:tc>
          <w:tcPr>
            <w:tcW w:w="2581" w:type="dxa"/>
          </w:tcPr>
          <w:p w:rsidR="007F2A42" w:rsidRPr="00EE01B4" w:rsidRDefault="007F2A42" w:rsidP="007F2A42">
            <w:pPr>
              <w:rPr>
                <w:rFonts w:cs="Arial"/>
                <w:sz w:val="20"/>
                <w:szCs w:val="20"/>
                <w:lang w:val="fr-FR"/>
              </w:rPr>
            </w:pPr>
          </w:p>
        </w:tc>
        <w:tc>
          <w:tcPr>
            <w:tcW w:w="1259" w:type="dxa"/>
          </w:tcPr>
          <w:p w:rsidR="007F2A42" w:rsidRPr="00EE01B4" w:rsidRDefault="007F2A42" w:rsidP="007F2A42">
            <w:pPr>
              <w:rPr>
                <w:rFonts w:cs="Arial"/>
                <w:sz w:val="20"/>
                <w:szCs w:val="20"/>
                <w:lang w:val="fr-FR"/>
              </w:rPr>
            </w:pPr>
          </w:p>
        </w:tc>
        <w:tc>
          <w:tcPr>
            <w:tcW w:w="1259" w:type="dxa"/>
          </w:tcPr>
          <w:p w:rsidR="007F2A42" w:rsidRPr="00EE01B4" w:rsidRDefault="007F2A42" w:rsidP="007F2A42">
            <w:pPr>
              <w:rPr>
                <w:sz w:val="20"/>
                <w:szCs w:val="20"/>
              </w:rPr>
            </w:pPr>
            <w:r w:rsidRPr="00EE01B4">
              <w:rPr>
                <w:sz w:val="20"/>
                <w:szCs w:val="20"/>
              </w:rPr>
              <w:t>E</w:t>
            </w:r>
          </w:p>
        </w:tc>
        <w:tc>
          <w:tcPr>
            <w:tcW w:w="5296" w:type="dxa"/>
          </w:tcPr>
          <w:p w:rsidR="007F2A42" w:rsidRPr="00EE01B4" w:rsidRDefault="007F2A42" w:rsidP="007F2A42">
            <w:pPr>
              <w:rPr>
                <w:sz w:val="20"/>
                <w:szCs w:val="20"/>
                <w:lang w:val="fr-FR"/>
              </w:rPr>
            </w:pPr>
            <w:r w:rsidRPr="00EE01B4">
              <w:rPr>
                <w:sz w:val="20"/>
                <w:szCs w:val="20"/>
                <w:lang w:val="fr-FR"/>
              </w:rPr>
              <w:t>GIEC</w:t>
            </w:r>
          </w:p>
          <w:p w:rsidR="007F2A42" w:rsidRPr="00EE01B4" w:rsidRDefault="007F2A42" w:rsidP="007F2A42">
            <w:pPr>
              <w:rPr>
                <w:sz w:val="20"/>
                <w:szCs w:val="20"/>
                <w:lang w:val="fr-FR"/>
              </w:rPr>
            </w:pPr>
            <w:r w:rsidRPr="00EE01B4">
              <w:rPr>
                <w:sz w:val="20"/>
                <w:szCs w:val="20"/>
                <w:u w:val="single"/>
                <w:lang w:val="fr-FR"/>
              </w:rPr>
              <w:t>Résumé</w:t>
            </w:r>
            <w:r w:rsidRPr="00EE01B4">
              <w:rPr>
                <w:sz w:val="20"/>
                <w:szCs w:val="20"/>
                <w:lang w:val="fr-FR"/>
              </w:rPr>
              <w:t xml:space="preserve"> : </w:t>
            </w:r>
            <w:r w:rsidRPr="00EE01B4">
              <w:rPr>
                <w:lang w:val="fr-FR"/>
              </w:rPr>
              <w:t xml:space="preserve">Ce </w:t>
            </w:r>
            <w:r w:rsidRPr="00EE01B4">
              <w:rPr>
                <w:sz w:val="20"/>
                <w:szCs w:val="20"/>
                <w:lang w:val="fr-FR"/>
              </w:rPr>
              <w:t>rapport répond à l’invitation faite au GIEC de « présenter en 2018 un rapport spécial sur les conséquences d’un réchauffement climatique de 1,5°C au-dessus des niveaux préindustriels et sur les profils connexes d’évolution des émissions mondiales de gaz à effet de serre», figurant dans la décision de la 21</w:t>
            </w:r>
            <w:r w:rsidRPr="00EE01B4">
              <w:rPr>
                <w:sz w:val="20"/>
                <w:szCs w:val="20"/>
                <w:vertAlign w:val="superscript"/>
                <w:lang w:val="fr-FR"/>
              </w:rPr>
              <w:t>e</w:t>
            </w:r>
            <w:r w:rsidRPr="00EE01B4">
              <w:rPr>
                <w:sz w:val="20"/>
                <w:szCs w:val="20"/>
                <w:lang w:val="fr-FR"/>
              </w:rPr>
              <w:t xml:space="preserve"> session de la Conférence des Parties à la Convention-cadre des Nations Unies sur les changements climatiques en vue de l’adoption de l’Accord de Paris. </w:t>
            </w:r>
          </w:p>
        </w:tc>
      </w:tr>
      <w:tr w:rsidR="007F2A42" w:rsidRPr="00EE01B4" w:rsidTr="009E2D28">
        <w:tc>
          <w:tcPr>
            <w:tcW w:w="3051" w:type="dxa"/>
          </w:tcPr>
          <w:p w:rsidR="007F2A42" w:rsidRPr="00EE01B4" w:rsidRDefault="00DF180B" w:rsidP="007F2A42">
            <w:pPr>
              <w:rPr>
                <w:sz w:val="20"/>
                <w:szCs w:val="20"/>
                <w:lang w:val="en-GB"/>
              </w:rPr>
            </w:pPr>
            <w:hyperlink r:id="rId187" w:history="1">
              <w:r w:rsidR="007F2A42" w:rsidRPr="00EE01B4">
                <w:rPr>
                  <w:rStyle w:val="Hyperlink"/>
                  <w:sz w:val="20"/>
                  <w:szCs w:val="20"/>
                  <w:lang w:val="en-GB"/>
                </w:rPr>
                <w:t xml:space="preserve">Adapting to Climate Change - Guidance for Protected Areas </w:t>
              </w:r>
              <w:r w:rsidR="007F2A42" w:rsidRPr="00EE01B4">
                <w:rPr>
                  <w:rStyle w:val="Hyperlink"/>
                  <w:sz w:val="20"/>
                  <w:szCs w:val="20"/>
                  <w:lang w:val="en-GB"/>
                </w:rPr>
                <w:lastRenderedPageBreak/>
                <w:t>Managers and Planners</w:t>
              </w:r>
            </w:hyperlink>
          </w:p>
        </w:tc>
        <w:tc>
          <w:tcPr>
            <w:tcW w:w="2168" w:type="dxa"/>
          </w:tcPr>
          <w:p w:rsidR="007F2A42" w:rsidRPr="00EE01B4" w:rsidRDefault="007F2A42" w:rsidP="007F2A42">
            <w:pPr>
              <w:rPr>
                <w:rFonts w:cs="Arial"/>
                <w:sz w:val="20"/>
                <w:szCs w:val="20"/>
                <w:lang w:val="en-GB"/>
              </w:rPr>
            </w:pPr>
          </w:p>
        </w:tc>
        <w:tc>
          <w:tcPr>
            <w:tcW w:w="2581" w:type="dxa"/>
          </w:tcPr>
          <w:p w:rsidR="007F2A42" w:rsidRPr="00EE01B4" w:rsidRDefault="007F2A42" w:rsidP="007F2A42">
            <w:pPr>
              <w:rPr>
                <w:rFonts w:cs="Arial"/>
                <w:sz w:val="20"/>
                <w:szCs w:val="20"/>
                <w:lang w:val="en-GB"/>
              </w:rPr>
            </w:pPr>
          </w:p>
        </w:tc>
        <w:tc>
          <w:tcPr>
            <w:tcW w:w="1259" w:type="dxa"/>
          </w:tcPr>
          <w:p w:rsidR="007F2A42" w:rsidRPr="00EE01B4" w:rsidRDefault="007F2A42" w:rsidP="007F2A42">
            <w:pPr>
              <w:rPr>
                <w:rFonts w:cs="Arial"/>
                <w:sz w:val="20"/>
                <w:szCs w:val="20"/>
                <w:lang w:val="en-GB"/>
              </w:rPr>
            </w:pPr>
          </w:p>
        </w:tc>
        <w:tc>
          <w:tcPr>
            <w:tcW w:w="1259" w:type="dxa"/>
          </w:tcPr>
          <w:p w:rsidR="007F2A42" w:rsidRPr="00EE01B4" w:rsidRDefault="007F2A42" w:rsidP="007F2A42">
            <w:pPr>
              <w:rPr>
                <w:sz w:val="20"/>
                <w:szCs w:val="20"/>
              </w:rPr>
            </w:pPr>
            <w:r w:rsidRPr="00EE01B4">
              <w:rPr>
                <w:sz w:val="20"/>
                <w:szCs w:val="20"/>
              </w:rPr>
              <w:t>E</w:t>
            </w:r>
          </w:p>
        </w:tc>
        <w:tc>
          <w:tcPr>
            <w:tcW w:w="5296" w:type="dxa"/>
          </w:tcPr>
          <w:p w:rsidR="007F2A42" w:rsidRPr="00EE01B4" w:rsidRDefault="007F2A42" w:rsidP="007F2A42">
            <w:pPr>
              <w:rPr>
                <w:rFonts w:cs="Arial"/>
                <w:sz w:val="20"/>
                <w:szCs w:val="20"/>
                <w:lang w:val="fr-FR"/>
              </w:rPr>
            </w:pPr>
            <w:r w:rsidRPr="00EE01B4">
              <w:rPr>
                <w:rFonts w:cs="Arial"/>
                <w:sz w:val="20"/>
                <w:szCs w:val="20"/>
                <w:lang w:val="fr-FR"/>
              </w:rPr>
              <w:t>UICN</w:t>
            </w:r>
          </w:p>
          <w:p w:rsidR="007F2A42" w:rsidRPr="00EE01B4" w:rsidRDefault="007F2A42" w:rsidP="007F2A42">
            <w:pPr>
              <w:rPr>
                <w:rFonts w:cs="Arial"/>
                <w:sz w:val="20"/>
                <w:szCs w:val="20"/>
                <w:lang w:val="fr-FR"/>
              </w:rPr>
            </w:pPr>
            <w:r w:rsidRPr="00EE01B4">
              <w:rPr>
                <w:rFonts w:cs="Arial"/>
                <w:sz w:val="20"/>
                <w:szCs w:val="20"/>
                <w:u w:val="single"/>
                <w:lang w:val="fr-FR"/>
              </w:rPr>
              <w:t>Résumé</w:t>
            </w:r>
            <w:r w:rsidRPr="00EE01B4">
              <w:rPr>
                <w:rFonts w:cs="Arial"/>
                <w:sz w:val="20"/>
                <w:szCs w:val="20"/>
                <w:lang w:val="fr-FR"/>
              </w:rPr>
              <w:t xml:space="preserve"> : Ces lignes directrices énoncent les éléments </w:t>
            </w:r>
            <w:r w:rsidRPr="00EE01B4">
              <w:rPr>
                <w:rFonts w:cs="Arial"/>
                <w:sz w:val="20"/>
                <w:szCs w:val="20"/>
                <w:lang w:val="fr-FR"/>
              </w:rPr>
              <w:lastRenderedPageBreak/>
              <w:t>essentiels de la planification et de la mise en œuvre des mesures d’adaptation, et décrivent des ressources supplémentaires utilisables immédiatement par les gestionnaires de sites.</w:t>
            </w:r>
          </w:p>
        </w:tc>
      </w:tr>
      <w:tr w:rsidR="007F2A42" w:rsidRPr="00EE01B4" w:rsidTr="009E2D28">
        <w:tc>
          <w:tcPr>
            <w:tcW w:w="3051" w:type="dxa"/>
          </w:tcPr>
          <w:p w:rsidR="007F2A42" w:rsidRPr="00EE01B4" w:rsidRDefault="00DF180B" w:rsidP="007F2A42">
            <w:pPr>
              <w:rPr>
                <w:sz w:val="20"/>
                <w:szCs w:val="20"/>
              </w:rPr>
            </w:pPr>
            <w:hyperlink r:id="rId188" w:history="1">
              <w:proofErr w:type="spellStart"/>
              <w:r w:rsidR="007F2A42" w:rsidRPr="00EE01B4">
                <w:rPr>
                  <w:rStyle w:val="Hyperlink"/>
                  <w:sz w:val="20"/>
                  <w:szCs w:val="20"/>
                </w:rPr>
                <w:t>Ecosystem-based</w:t>
              </w:r>
              <w:proofErr w:type="spellEnd"/>
              <w:r w:rsidR="007F2A42" w:rsidRPr="00EE01B4">
                <w:rPr>
                  <w:rStyle w:val="Hyperlink"/>
                  <w:sz w:val="20"/>
                  <w:szCs w:val="20"/>
                </w:rPr>
                <w:t xml:space="preserve"> Adaptation </w:t>
              </w:r>
              <w:proofErr w:type="spellStart"/>
              <w:r w:rsidR="007F2A42" w:rsidRPr="00EE01B4">
                <w:rPr>
                  <w:rStyle w:val="Hyperlink"/>
                  <w:sz w:val="20"/>
                  <w:szCs w:val="20"/>
                </w:rPr>
                <w:t>Handbook</w:t>
              </w:r>
              <w:proofErr w:type="spellEnd"/>
            </w:hyperlink>
          </w:p>
        </w:tc>
        <w:tc>
          <w:tcPr>
            <w:tcW w:w="2168" w:type="dxa"/>
          </w:tcPr>
          <w:p w:rsidR="007F2A42" w:rsidRPr="00EE01B4" w:rsidRDefault="007F2A42" w:rsidP="007F2A42">
            <w:pPr>
              <w:rPr>
                <w:rFonts w:cs="Arial"/>
                <w:sz w:val="20"/>
                <w:szCs w:val="20"/>
              </w:rPr>
            </w:pPr>
          </w:p>
        </w:tc>
        <w:tc>
          <w:tcPr>
            <w:tcW w:w="2581" w:type="dxa"/>
          </w:tcPr>
          <w:p w:rsidR="007F2A42" w:rsidRPr="00EE01B4" w:rsidRDefault="007F2A42" w:rsidP="007F2A42">
            <w:pPr>
              <w:rPr>
                <w:rFonts w:cs="Arial"/>
                <w:sz w:val="20"/>
                <w:szCs w:val="20"/>
              </w:rPr>
            </w:pPr>
          </w:p>
        </w:tc>
        <w:tc>
          <w:tcPr>
            <w:tcW w:w="1259" w:type="dxa"/>
          </w:tcPr>
          <w:p w:rsidR="007F2A42" w:rsidRPr="00EE01B4" w:rsidRDefault="007F2A42" w:rsidP="007F2A42">
            <w:pPr>
              <w:rPr>
                <w:rFonts w:cs="Arial"/>
                <w:sz w:val="20"/>
                <w:szCs w:val="20"/>
              </w:rPr>
            </w:pPr>
          </w:p>
        </w:tc>
        <w:tc>
          <w:tcPr>
            <w:tcW w:w="1259" w:type="dxa"/>
          </w:tcPr>
          <w:p w:rsidR="007F2A42" w:rsidRPr="00EE01B4" w:rsidRDefault="007F2A42" w:rsidP="007F2A42">
            <w:pPr>
              <w:rPr>
                <w:sz w:val="20"/>
                <w:szCs w:val="20"/>
              </w:rPr>
            </w:pPr>
            <w:r w:rsidRPr="00EE01B4">
              <w:rPr>
                <w:sz w:val="20"/>
                <w:szCs w:val="20"/>
              </w:rPr>
              <w:t>E</w:t>
            </w:r>
          </w:p>
        </w:tc>
        <w:tc>
          <w:tcPr>
            <w:tcW w:w="5296" w:type="dxa"/>
          </w:tcPr>
          <w:p w:rsidR="007F2A42" w:rsidRPr="00EE01B4" w:rsidRDefault="007F2A42" w:rsidP="007F2A42">
            <w:pPr>
              <w:rPr>
                <w:rFonts w:cs="Arial"/>
                <w:sz w:val="20"/>
                <w:szCs w:val="20"/>
                <w:lang w:val="fr-FR"/>
              </w:rPr>
            </w:pPr>
            <w:r w:rsidRPr="00EE01B4">
              <w:rPr>
                <w:rFonts w:cs="Arial"/>
                <w:sz w:val="20"/>
                <w:szCs w:val="20"/>
                <w:lang w:val="fr-FR"/>
              </w:rPr>
              <w:t>UICN</w:t>
            </w:r>
          </w:p>
          <w:p w:rsidR="007F2A42" w:rsidRPr="00EE01B4" w:rsidRDefault="007F2A42" w:rsidP="007F2A42">
            <w:pPr>
              <w:rPr>
                <w:rFonts w:cs="Arial"/>
                <w:sz w:val="20"/>
                <w:szCs w:val="20"/>
                <w:lang w:val="fr-FR"/>
              </w:rPr>
            </w:pPr>
            <w:r w:rsidRPr="00EE01B4">
              <w:rPr>
                <w:rFonts w:cs="Arial"/>
                <w:sz w:val="20"/>
                <w:szCs w:val="20"/>
                <w:u w:val="single"/>
                <w:lang w:val="fr-FR"/>
              </w:rPr>
              <w:t>Résumé</w:t>
            </w:r>
            <w:r w:rsidRPr="00EE01B4">
              <w:rPr>
                <w:rFonts w:cs="Arial"/>
                <w:sz w:val="20"/>
                <w:szCs w:val="20"/>
                <w:lang w:val="fr-FR"/>
              </w:rPr>
              <w:t xml:space="preserve"> : Ce manuel est conçu comme un guide étape par étape pour organiser une intervention </w:t>
            </w:r>
            <w:proofErr w:type="spellStart"/>
            <w:r w:rsidRPr="00EE01B4">
              <w:rPr>
                <w:rFonts w:cs="Arial"/>
                <w:sz w:val="20"/>
                <w:szCs w:val="20"/>
                <w:lang w:val="fr-FR"/>
              </w:rPr>
              <w:t>EbA</w:t>
            </w:r>
            <w:proofErr w:type="spellEnd"/>
            <w:r w:rsidRPr="00EE01B4">
              <w:rPr>
                <w:rFonts w:cs="Arial"/>
                <w:sz w:val="20"/>
                <w:szCs w:val="20"/>
                <w:lang w:val="fr-FR"/>
              </w:rPr>
              <w:t>. Il préconise une approche intégrée de l’</w:t>
            </w:r>
            <w:proofErr w:type="spellStart"/>
            <w:r w:rsidRPr="00EE01B4">
              <w:rPr>
                <w:rFonts w:cs="Arial"/>
                <w:sz w:val="20"/>
                <w:szCs w:val="20"/>
                <w:lang w:val="fr-FR"/>
              </w:rPr>
              <w:t>EbA</w:t>
            </w:r>
            <w:proofErr w:type="spellEnd"/>
            <w:r w:rsidRPr="00EE01B4">
              <w:rPr>
                <w:rFonts w:cs="Arial"/>
                <w:sz w:val="20"/>
                <w:szCs w:val="20"/>
                <w:lang w:val="fr-FR"/>
              </w:rPr>
              <w:t>, dans le but ultime de renforcer la résilience des systèmes socio-écologiques. Ce manuel présente en outre au lecteur les éléments constitutifs d’une stratégie d’adaptation fondée sur les écosystèmes (</w:t>
            </w:r>
            <w:proofErr w:type="spellStart"/>
            <w:r w:rsidRPr="00EE01B4">
              <w:rPr>
                <w:rFonts w:cs="Arial"/>
                <w:sz w:val="20"/>
                <w:szCs w:val="20"/>
                <w:lang w:val="fr-FR"/>
              </w:rPr>
              <w:t>EbA</w:t>
            </w:r>
            <w:proofErr w:type="spellEnd"/>
            <w:r w:rsidRPr="00EE01B4">
              <w:rPr>
                <w:rFonts w:cs="Arial"/>
                <w:sz w:val="20"/>
                <w:szCs w:val="20"/>
                <w:lang w:val="fr-FR"/>
              </w:rPr>
              <w:t xml:space="preserve">) et explique comment les mettre en place. </w:t>
            </w:r>
          </w:p>
        </w:tc>
      </w:tr>
      <w:tr w:rsidR="007F2A42" w:rsidRPr="00EE01B4" w:rsidTr="009E2D28">
        <w:tc>
          <w:tcPr>
            <w:tcW w:w="3051" w:type="dxa"/>
          </w:tcPr>
          <w:p w:rsidR="007F2A42" w:rsidRPr="00EE01B4" w:rsidRDefault="00DF180B" w:rsidP="007F2A42">
            <w:pPr>
              <w:rPr>
                <w:lang w:val="en-GB"/>
              </w:rPr>
            </w:pPr>
            <w:hyperlink r:id="rId189" w:history="1">
              <w:r w:rsidR="007F2A42" w:rsidRPr="00EE01B4">
                <w:rPr>
                  <w:rStyle w:val="Hyperlink"/>
                  <w:sz w:val="20"/>
                  <w:szCs w:val="20"/>
                  <w:lang w:val="en-GB"/>
                </w:rPr>
                <w:t>Ecosystems protecting infrastructure and communities - Lessons learned and guidelines for implementation</w:t>
              </w:r>
            </w:hyperlink>
          </w:p>
        </w:tc>
        <w:tc>
          <w:tcPr>
            <w:tcW w:w="2168" w:type="dxa"/>
          </w:tcPr>
          <w:p w:rsidR="007F2A42" w:rsidRPr="00EE01B4" w:rsidRDefault="007F2A42" w:rsidP="007F2A42">
            <w:pPr>
              <w:rPr>
                <w:rFonts w:cs="Arial"/>
                <w:sz w:val="20"/>
                <w:szCs w:val="20"/>
                <w:lang w:val="en-GB"/>
              </w:rPr>
            </w:pPr>
          </w:p>
        </w:tc>
        <w:tc>
          <w:tcPr>
            <w:tcW w:w="2581" w:type="dxa"/>
          </w:tcPr>
          <w:p w:rsidR="007F2A42" w:rsidRPr="00EE01B4" w:rsidRDefault="007F2A42" w:rsidP="007F2A42">
            <w:pPr>
              <w:rPr>
                <w:rFonts w:cs="Arial"/>
                <w:sz w:val="20"/>
                <w:szCs w:val="20"/>
                <w:lang w:val="en-GB"/>
              </w:rPr>
            </w:pPr>
          </w:p>
        </w:tc>
        <w:tc>
          <w:tcPr>
            <w:tcW w:w="1259" w:type="dxa"/>
          </w:tcPr>
          <w:p w:rsidR="007F2A42" w:rsidRPr="00EE01B4" w:rsidRDefault="007F2A42" w:rsidP="007F2A42">
            <w:pPr>
              <w:rPr>
                <w:rFonts w:cs="Arial"/>
                <w:sz w:val="20"/>
                <w:szCs w:val="20"/>
                <w:lang w:val="en-GB"/>
              </w:rPr>
            </w:pPr>
          </w:p>
        </w:tc>
        <w:tc>
          <w:tcPr>
            <w:tcW w:w="1259" w:type="dxa"/>
          </w:tcPr>
          <w:p w:rsidR="007F2A42" w:rsidRPr="00EE01B4" w:rsidRDefault="007F2A42" w:rsidP="007F2A42">
            <w:pPr>
              <w:rPr>
                <w:sz w:val="20"/>
                <w:szCs w:val="20"/>
              </w:rPr>
            </w:pPr>
            <w:r w:rsidRPr="00EE01B4">
              <w:rPr>
                <w:sz w:val="20"/>
                <w:szCs w:val="20"/>
              </w:rPr>
              <w:t>E</w:t>
            </w:r>
          </w:p>
        </w:tc>
        <w:tc>
          <w:tcPr>
            <w:tcW w:w="5296" w:type="dxa"/>
          </w:tcPr>
          <w:p w:rsidR="007F2A42" w:rsidRPr="00EE01B4" w:rsidRDefault="007F2A42" w:rsidP="007F2A42">
            <w:pPr>
              <w:rPr>
                <w:rFonts w:cs="Arial"/>
                <w:sz w:val="20"/>
                <w:szCs w:val="20"/>
                <w:lang w:val="fr-FR"/>
              </w:rPr>
            </w:pPr>
            <w:r w:rsidRPr="00EE01B4">
              <w:rPr>
                <w:rFonts w:cs="Arial"/>
                <w:sz w:val="20"/>
                <w:szCs w:val="20"/>
                <w:lang w:val="fr-FR"/>
              </w:rPr>
              <w:t>UICN</w:t>
            </w:r>
          </w:p>
          <w:p w:rsidR="007F2A42" w:rsidRPr="00EE01B4" w:rsidRDefault="007F2A42" w:rsidP="007F2A42">
            <w:pPr>
              <w:rPr>
                <w:sz w:val="20"/>
                <w:szCs w:val="20"/>
                <w:lang w:val="fr-FR"/>
              </w:rPr>
            </w:pPr>
            <w:r w:rsidRPr="00EE01B4">
              <w:rPr>
                <w:rFonts w:cs="Arial"/>
                <w:sz w:val="20"/>
                <w:szCs w:val="20"/>
                <w:u w:val="single"/>
                <w:lang w:val="fr-FR"/>
              </w:rPr>
              <w:t>Résumé</w:t>
            </w:r>
            <w:r w:rsidRPr="00EE01B4">
              <w:rPr>
                <w:rFonts w:cs="Arial"/>
                <w:sz w:val="20"/>
                <w:szCs w:val="20"/>
                <w:lang w:val="fr-FR"/>
              </w:rPr>
              <w:t xml:space="preserve"> : Cette publication présente des informations détaillées sur le projet EPIC (Écosystèmes pour la Protection des Infrastructures et des Communautés), une initiative mondiale pionnière encourageant la mise en œuvre d’approches écosystémiques pour la réduction des risques de catastrophe et l’adaptation au changement climatique, au travers de cinq études de cas couvrant six pays.</w:t>
            </w:r>
            <w:r w:rsidRPr="00EE01B4">
              <w:rPr>
                <w:sz w:val="20"/>
                <w:szCs w:val="20"/>
                <w:lang w:val="fr-FR"/>
              </w:rPr>
              <w:t xml:space="preserve"> </w:t>
            </w:r>
          </w:p>
        </w:tc>
      </w:tr>
      <w:tr w:rsidR="007F2A42" w:rsidRPr="00EE01B4" w:rsidTr="009E2D28">
        <w:tc>
          <w:tcPr>
            <w:tcW w:w="3051" w:type="dxa"/>
          </w:tcPr>
          <w:p w:rsidR="007F2A42" w:rsidRPr="00EE01B4" w:rsidRDefault="00DF180B" w:rsidP="007F2A42">
            <w:pPr>
              <w:rPr>
                <w:sz w:val="20"/>
                <w:szCs w:val="20"/>
                <w:lang w:val="en-GB"/>
              </w:rPr>
            </w:pPr>
            <w:hyperlink r:id="rId190" w:history="1">
              <w:r w:rsidR="007F2A42" w:rsidRPr="00EE01B4">
                <w:rPr>
                  <w:rStyle w:val="Hyperlink"/>
                  <w:sz w:val="20"/>
                  <w:szCs w:val="20"/>
                  <w:lang w:val="en-GB"/>
                </w:rPr>
                <w:t>Marine protected areas and climate change - Adaptation and mitigation synergies, opportunities and challenges</w:t>
              </w:r>
            </w:hyperlink>
          </w:p>
        </w:tc>
        <w:tc>
          <w:tcPr>
            <w:tcW w:w="2168" w:type="dxa"/>
          </w:tcPr>
          <w:p w:rsidR="007F2A42" w:rsidRPr="00EE01B4" w:rsidRDefault="007F2A42" w:rsidP="007F2A42">
            <w:pPr>
              <w:rPr>
                <w:rFonts w:cs="Arial"/>
                <w:sz w:val="20"/>
                <w:szCs w:val="20"/>
                <w:lang w:val="en-GB"/>
              </w:rPr>
            </w:pPr>
          </w:p>
        </w:tc>
        <w:tc>
          <w:tcPr>
            <w:tcW w:w="2581" w:type="dxa"/>
          </w:tcPr>
          <w:p w:rsidR="007F2A42" w:rsidRPr="00EE01B4" w:rsidRDefault="007F2A42" w:rsidP="007F2A42">
            <w:pPr>
              <w:rPr>
                <w:rFonts w:cs="Arial"/>
                <w:sz w:val="20"/>
                <w:szCs w:val="20"/>
                <w:lang w:val="en-GB"/>
              </w:rPr>
            </w:pPr>
          </w:p>
        </w:tc>
        <w:tc>
          <w:tcPr>
            <w:tcW w:w="1259" w:type="dxa"/>
          </w:tcPr>
          <w:p w:rsidR="007F2A42" w:rsidRPr="00EE01B4" w:rsidRDefault="007F2A42" w:rsidP="007F2A42">
            <w:pPr>
              <w:rPr>
                <w:rFonts w:cs="Arial"/>
                <w:sz w:val="20"/>
                <w:szCs w:val="20"/>
                <w:lang w:val="en-GB"/>
              </w:rPr>
            </w:pPr>
          </w:p>
        </w:tc>
        <w:tc>
          <w:tcPr>
            <w:tcW w:w="1259" w:type="dxa"/>
          </w:tcPr>
          <w:p w:rsidR="007F2A42" w:rsidRPr="00EE01B4" w:rsidRDefault="007F2A42" w:rsidP="007F2A42">
            <w:pPr>
              <w:rPr>
                <w:sz w:val="20"/>
                <w:szCs w:val="20"/>
                <w:lang w:val="en-GB"/>
              </w:rPr>
            </w:pPr>
          </w:p>
        </w:tc>
        <w:tc>
          <w:tcPr>
            <w:tcW w:w="5296" w:type="dxa"/>
          </w:tcPr>
          <w:p w:rsidR="007F2A42" w:rsidRPr="00EE01B4" w:rsidRDefault="007F2A42" w:rsidP="007F2A42">
            <w:pPr>
              <w:rPr>
                <w:rFonts w:cs="Arial"/>
                <w:sz w:val="20"/>
                <w:szCs w:val="20"/>
                <w:lang w:val="fr-FR"/>
              </w:rPr>
            </w:pPr>
            <w:r w:rsidRPr="00EE01B4">
              <w:rPr>
                <w:rFonts w:cs="Arial"/>
                <w:sz w:val="20"/>
                <w:szCs w:val="20"/>
                <w:lang w:val="fr-FR"/>
              </w:rPr>
              <w:t>UICN</w:t>
            </w:r>
          </w:p>
          <w:p w:rsidR="007F2A42" w:rsidRPr="00EE01B4" w:rsidRDefault="007F2A42" w:rsidP="007F2A42">
            <w:pPr>
              <w:rPr>
                <w:rFonts w:cs="Arial"/>
                <w:sz w:val="20"/>
                <w:szCs w:val="20"/>
                <w:lang w:val="fr-FR"/>
              </w:rPr>
            </w:pPr>
            <w:r w:rsidRPr="00EE01B4">
              <w:rPr>
                <w:rFonts w:cs="Arial"/>
                <w:sz w:val="20"/>
                <w:szCs w:val="20"/>
                <w:u w:val="single"/>
                <w:lang w:val="fr-FR"/>
              </w:rPr>
              <w:t>Résumé</w:t>
            </w:r>
            <w:r w:rsidRPr="00EE01B4">
              <w:rPr>
                <w:rFonts w:cs="Arial"/>
                <w:sz w:val="20"/>
                <w:szCs w:val="20"/>
                <w:lang w:val="fr-FR"/>
              </w:rPr>
              <w:t xml:space="preserve"> : Ce rapport vise à fournir des informations pour étayer les résultats de la COP21 et, en particulier, démontrer l'importance du rôle des AMP dans l'adaptation au changement climatique et l'atténuation de ses effets. La reconnaissance du rôle des AMP est également un élément important de nature à accroître l'efficacité des AMP dans le cadre du Plan stratégique 2011-20120 de la CDB. </w:t>
            </w:r>
          </w:p>
        </w:tc>
      </w:tr>
      <w:tr w:rsidR="007F2A42" w:rsidRPr="00EE01B4" w:rsidTr="00715C48">
        <w:tc>
          <w:tcPr>
            <w:tcW w:w="15614" w:type="dxa"/>
            <w:gridSpan w:val="6"/>
            <w:shd w:val="clear" w:color="auto" w:fill="FBD4B4" w:themeFill="accent6" w:themeFillTint="66"/>
          </w:tcPr>
          <w:p w:rsidR="007F2A42" w:rsidRPr="00EE01B4" w:rsidRDefault="007F2A42" w:rsidP="00B5352E">
            <w:pPr>
              <w:spacing w:after="40"/>
              <w:rPr>
                <w:b/>
                <w:sz w:val="20"/>
                <w:szCs w:val="20"/>
                <w:lang w:val="fr-FR"/>
              </w:rPr>
            </w:pPr>
            <w:r w:rsidRPr="00EE01B4">
              <w:rPr>
                <w:b/>
                <w:sz w:val="20"/>
                <w:szCs w:val="20"/>
                <w:lang w:val="fr-FR"/>
              </w:rPr>
              <w:t>Jusqu’en 2015</w:t>
            </w:r>
          </w:p>
        </w:tc>
      </w:tr>
      <w:tr w:rsidR="007F2A42" w:rsidRPr="00EE01B4" w:rsidTr="009E2D28">
        <w:tc>
          <w:tcPr>
            <w:tcW w:w="3051" w:type="dxa"/>
          </w:tcPr>
          <w:p w:rsidR="007F2A42" w:rsidRPr="00EE01B4" w:rsidRDefault="00DF180B" w:rsidP="00B5352E">
            <w:pPr>
              <w:spacing w:after="40"/>
              <w:rPr>
                <w:color w:val="0000FF" w:themeColor="hyperlink"/>
                <w:sz w:val="20"/>
                <w:szCs w:val="20"/>
                <w:u w:val="single"/>
                <w:lang w:val="en-GB"/>
              </w:rPr>
            </w:pPr>
            <w:hyperlink r:id="rId191" w:history="1">
              <w:r w:rsidR="007F2A42" w:rsidRPr="00EE01B4">
                <w:rPr>
                  <w:rStyle w:val="Hyperlink"/>
                  <w:sz w:val="20"/>
                  <w:szCs w:val="20"/>
                  <w:lang w:val="en-GB"/>
                </w:rPr>
                <w:t>Keep it fresh or salty: An introductory guide to financing wetland carbon programs and projects</w:t>
              </w:r>
            </w:hyperlink>
          </w:p>
        </w:tc>
        <w:tc>
          <w:tcPr>
            <w:tcW w:w="2168" w:type="dxa"/>
          </w:tcPr>
          <w:p w:rsidR="007F2A42" w:rsidRPr="00EE01B4" w:rsidRDefault="007F2A42" w:rsidP="00B5352E">
            <w:pPr>
              <w:rPr>
                <w:rFonts w:cs="Arial"/>
                <w:sz w:val="20"/>
                <w:szCs w:val="20"/>
                <w:lang w:val="en-GB"/>
              </w:rPr>
            </w:pPr>
          </w:p>
        </w:tc>
        <w:tc>
          <w:tcPr>
            <w:tcW w:w="2581" w:type="dxa"/>
          </w:tcPr>
          <w:p w:rsidR="007F2A42" w:rsidRPr="00EE01B4" w:rsidRDefault="007F2A42" w:rsidP="00B5352E">
            <w:pPr>
              <w:rPr>
                <w:rFonts w:cs="Arial"/>
                <w:sz w:val="20"/>
                <w:szCs w:val="20"/>
                <w:lang w:val="en-GB"/>
              </w:rPr>
            </w:pPr>
          </w:p>
        </w:tc>
        <w:tc>
          <w:tcPr>
            <w:tcW w:w="1259" w:type="dxa"/>
          </w:tcPr>
          <w:p w:rsidR="007F2A42" w:rsidRPr="00EE01B4" w:rsidRDefault="007F2A42" w:rsidP="00B5352E">
            <w:pPr>
              <w:rPr>
                <w:rFonts w:cs="Arial"/>
                <w:sz w:val="20"/>
                <w:szCs w:val="20"/>
                <w:lang w:val="en-GB"/>
              </w:rPr>
            </w:pPr>
          </w:p>
        </w:tc>
        <w:tc>
          <w:tcPr>
            <w:tcW w:w="1259" w:type="dxa"/>
          </w:tcPr>
          <w:p w:rsidR="007F2A42" w:rsidRPr="00EE01B4" w:rsidRDefault="007F2A42" w:rsidP="00B5352E">
            <w:pPr>
              <w:rPr>
                <w:rFonts w:cs="Arial"/>
                <w:sz w:val="20"/>
                <w:szCs w:val="20"/>
                <w:lang w:val="fr-FR"/>
              </w:rPr>
            </w:pPr>
            <w:r w:rsidRPr="00EE01B4">
              <w:rPr>
                <w:sz w:val="20"/>
                <w:szCs w:val="20"/>
                <w:lang w:val="fr-FR"/>
              </w:rPr>
              <w:t>E</w:t>
            </w:r>
          </w:p>
        </w:tc>
        <w:tc>
          <w:tcPr>
            <w:tcW w:w="5296" w:type="dxa"/>
          </w:tcPr>
          <w:p w:rsidR="007F2A42" w:rsidRPr="00EE01B4" w:rsidRDefault="007F2A42" w:rsidP="00B5352E">
            <w:pPr>
              <w:spacing w:after="40"/>
              <w:rPr>
                <w:sz w:val="20"/>
                <w:szCs w:val="20"/>
                <w:lang w:val="fr-FR"/>
              </w:rPr>
            </w:pPr>
            <w:r w:rsidRPr="00EE01B4">
              <w:rPr>
                <w:sz w:val="20"/>
                <w:szCs w:val="20"/>
                <w:lang w:val="fr-FR"/>
              </w:rPr>
              <w:t xml:space="preserve">UICN, </w:t>
            </w:r>
            <w:proofErr w:type="spellStart"/>
            <w:r w:rsidRPr="00EE01B4">
              <w:rPr>
                <w:sz w:val="20"/>
                <w:szCs w:val="20"/>
                <w:lang w:val="fr-FR"/>
              </w:rPr>
              <w:t>Wetlands</w:t>
            </w:r>
            <w:proofErr w:type="spellEnd"/>
            <w:r w:rsidRPr="00EE01B4">
              <w:rPr>
                <w:sz w:val="20"/>
                <w:szCs w:val="20"/>
                <w:lang w:val="fr-FR"/>
              </w:rPr>
              <w:t xml:space="preserve"> International (et Conservation International)</w:t>
            </w:r>
          </w:p>
          <w:p w:rsidR="007F2A42" w:rsidRPr="00EE01B4" w:rsidRDefault="007F2A42" w:rsidP="005550AC">
            <w:pPr>
              <w:spacing w:after="40"/>
              <w:rPr>
                <w:sz w:val="20"/>
                <w:szCs w:val="20"/>
                <w:lang w:val="fr-FR"/>
              </w:rPr>
            </w:pPr>
            <w:r w:rsidRPr="00EE01B4">
              <w:rPr>
                <w:rFonts w:cs="Arial"/>
                <w:sz w:val="20"/>
                <w:szCs w:val="20"/>
                <w:u w:val="single"/>
                <w:lang w:val="fr-FR"/>
              </w:rPr>
              <w:t>Résumé</w:t>
            </w:r>
            <w:r w:rsidRPr="00EE01B4">
              <w:rPr>
                <w:rFonts w:cs="Arial"/>
                <w:sz w:val="20"/>
                <w:szCs w:val="20"/>
                <w:lang w:val="fr-FR"/>
              </w:rPr>
              <w:t xml:space="preserve"> : Ce rapport apporte des orientations pour les concepteurs de programmes et de projets originaires ou travaillant dans les pays en développement sur les nombreux fonds et mécanismes financiers </w:t>
            </w:r>
            <w:r w:rsidRPr="00EE01B4">
              <w:rPr>
                <w:sz w:val="20"/>
                <w:szCs w:val="20"/>
                <w:lang w:val="fr-FR"/>
              </w:rPr>
              <w:t xml:space="preserve">pouvant fournir un financement carbone pour la conservation et la restauration des zones humides pour le carbone. Il souligne également des moyens d’accès et </w:t>
            </w:r>
            <w:r w:rsidR="00220111" w:rsidRPr="00EE01B4">
              <w:rPr>
                <w:sz w:val="20"/>
                <w:szCs w:val="20"/>
                <w:lang w:val="fr-FR"/>
              </w:rPr>
              <w:t>des activités carbones liées</w:t>
            </w:r>
            <w:r w:rsidRPr="00EE01B4">
              <w:rPr>
                <w:sz w:val="20"/>
                <w:szCs w:val="20"/>
                <w:lang w:val="fr-FR"/>
              </w:rPr>
              <w:t xml:space="preserve"> avec des </w:t>
            </w:r>
            <w:r w:rsidRPr="00EE01B4">
              <w:rPr>
                <w:sz w:val="20"/>
                <w:szCs w:val="20"/>
                <w:lang w:val="fr-FR"/>
              </w:rPr>
              <w:lastRenderedPageBreak/>
              <w:t>sources de financement non carbone</w:t>
            </w:r>
          </w:p>
        </w:tc>
      </w:tr>
      <w:tr w:rsidR="007F2A42" w:rsidRPr="00EE01B4" w:rsidTr="009E2D28">
        <w:tc>
          <w:tcPr>
            <w:tcW w:w="3051" w:type="dxa"/>
          </w:tcPr>
          <w:p w:rsidR="007F2A42" w:rsidRPr="00EE01B4" w:rsidRDefault="00DF180B" w:rsidP="00B5352E">
            <w:pPr>
              <w:spacing w:after="40"/>
              <w:rPr>
                <w:sz w:val="20"/>
                <w:szCs w:val="20"/>
                <w:lang w:val="en-GB"/>
              </w:rPr>
            </w:pPr>
            <w:hyperlink r:id="rId192" w:history="1">
              <w:r w:rsidR="007F2A42" w:rsidRPr="00EE01B4">
                <w:rPr>
                  <w:rStyle w:val="Hyperlink"/>
                  <w:sz w:val="20"/>
                  <w:szCs w:val="20"/>
                  <w:lang w:val="en-GB"/>
                </w:rPr>
                <w:t>UK peatland restoration : demonstrating success</w:t>
              </w:r>
            </w:hyperlink>
            <w:r w:rsidR="007F2A42" w:rsidRPr="00EE01B4">
              <w:rPr>
                <w:sz w:val="20"/>
                <w:szCs w:val="20"/>
                <w:lang w:val="en-GB"/>
              </w:rPr>
              <w:t xml:space="preserve"> + </w:t>
            </w:r>
            <w:hyperlink r:id="rId193" w:history="1">
              <w:r w:rsidR="007F2A42" w:rsidRPr="00EE01B4">
                <w:rPr>
                  <w:rStyle w:val="Hyperlink"/>
                  <w:sz w:val="20"/>
                  <w:szCs w:val="20"/>
                  <w:lang w:val="en-GB"/>
                </w:rPr>
                <w:t>Commission of Inquiry on Peatlands</w:t>
              </w:r>
            </w:hyperlink>
          </w:p>
        </w:tc>
        <w:tc>
          <w:tcPr>
            <w:tcW w:w="2168" w:type="dxa"/>
          </w:tcPr>
          <w:p w:rsidR="007F2A42" w:rsidRPr="00EE01B4" w:rsidRDefault="007F2A42" w:rsidP="00B5352E">
            <w:pPr>
              <w:rPr>
                <w:rFonts w:cs="Arial"/>
                <w:sz w:val="20"/>
                <w:szCs w:val="20"/>
                <w:lang w:val="en-GB"/>
              </w:rPr>
            </w:pPr>
          </w:p>
        </w:tc>
        <w:tc>
          <w:tcPr>
            <w:tcW w:w="2581" w:type="dxa"/>
          </w:tcPr>
          <w:p w:rsidR="007F2A42" w:rsidRPr="00EE01B4" w:rsidRDefault="007F2A42" w:rsidP="00B5352E">
            <w:pPr>
              <w:rPr>
                <w:rFonts w:cs="Arial"/>
                <w:sz w:val="20"/>
                <w:szCs w:val="20"/>
                <w:lang w:val="en-GB"/>
              </w:rPr>
            </w:pPr>
          </w:p>
        </w:tc>
        <w:tc>
          <w:tcPr>
            <w:tcW w:w="1259" w:type="dxa"/>
          </w:tcPr>
          <w:p w:rsidR="007F2A42" w:rsidRPr="00EE01B4" w:rsidRDefault="007F2A42" w:rsidP="00B5352E">
            <w:pPr>
              <w:rPr>
                <w:rFonts w:cs="Arial"/>
                <w:sz w:val="20"/>
                <w:szCs w:val="20"/>
                <w:lang w:val="en-GB"/>
              </w:rPr>
            </w:pPr>
          </w:p>
        </w:tc>
        <w:tc>
          <w:tcPr>
            <w:tcW w:w="1259" w:type="dxa"/>
          </w:tcPr>
          <w:p w:rsidR="007F2A42" w:rsidRPr="00EE01B4" w:rsidRDefault="007F2A42" w:rsidP="00B5352E">
            <w:pPr>
              <w:rPr>
                <w:sz w:val="20"/>
                <w:szCs w:val="20"/>
                <w:lang w:val="fr-FR"/>
              </w:rPr>
            </w:pPr>
            <w:r w:rsidRPr="00EE01B4">
              <w:rPr>
                <w:sz w:val="20"/>
                <w:szCs w:val="20"/>
                <w:lang w:val="fr-FR"/>
              </w:rPr>
              <w:t>E</w:t>
            </w:r>
          </w:p>
        </w:tc>
        <w:tc>
          <w:tcPr>
            <w:tcW w:w="5296" w:type="dxa"/>
          </w:tcPr>
          <w:p w:rsidR="007F2A42" w:rsidRPr="00EE01B4" w:rsidRDefault="007F2A42" w:rsidP="00B5352E">
            <w:pPr>
              <w:spacing w:after="40"/>
              <w:rPr>
                <w:sz w:val="20"/>
                <w:szCs w:val="20"/>
                <w:lang w:val="fr-FR"/>
              </w:rPr>
            </w:pPr>
            <w:r w:rsidRPr="00EE01B4">
              <w:rPr>
                <w:sz w:val="20"/>
                <w:szCs w:val="20"/>
                <w:lang w:val="fr-FR"/>
              </w:rPr>
              <w:t>UICN</w:t>
            </w:r>
          </w:p>
        </w:tc>
      </w:tr>
      <w:tr w:rsidR="007F2A42" w:rsidRPr="00EE01B4" w:rsidTr="009E2D28">
        <w:tc>
          <w:tcPr>
            <w:tcW w:w="3051" w:type="dxa"/>
          </w:tcPr>
          <w:p w:rsidR="007F2A42" w:rsidRPr="00EE01B4" w:rsidRDefault="00DF180B" w:rsidP="00B5352E">
            <w:pPr>
              <w:spacing w:after="40"/>
              <w:rPr>
                <w:sz w:val="20"/>
                <w:szCs w:val="20"/>
                <w:lang w:val="en-GB"/>
              </w:rPr>
            </w:pPr>
            <w:hyperlink r:id="rId194" w:history="1">
              <w:r w:rsidR="007F2A42" w:rsidRPr="00EE01B4">
                <w:rPr>
                  <w:rStyle w:val="Hyperlink"/>
                  <w:sz w:val="20"/>
                  <w:szCs w:val="20"/>
                  <w:lang w:val="en-GB"/>
                </w:rPr>
                <w:t xml:space="preserve">Climate change vulnerability assessment for </w:t>
              </w:r>
              <w:proofErr w:type="spellStart"/>
              <w:r w:rsidR="007F2A42" w:rsidRPr="00EE01B4">
                <w:rPr>
                  <w:rStyle w:val="Hyperlink"/>
                  <w:sz w:val="20"/>
                  <w:szCs w:val="20"/>
                  <w:lang w:val="en-GB"/>
                </w:rPr>
                <w:t>Beung</w:t>
              </w:r>
              <w:proofErr w:type="spellEnd"/>
              <w:r w:rsidR="007F2A42" w:rsidRPr="00EE01B4">
                <w:rPr>
                  <w:rStyle w:val="Hyperlink"/>
                  <w:sz w:val="20"/>
                  <w:szCs w:val="20"/>
                  <w:lang w:val="en-GB"/>
                </w:rPr>
                <w:t xml:space="preserve"> </w:t>
              </w:r>
              <w:proofErr w:type="spellStart"/>
              <w:r w:rsidR="007F2A42" w:rsidRPr="00EE01B4">
                <w:rPr>
                  <w:rStyle w:val="Hyperlink"/>
                  <w:sz w:val="20"/>
                  <w:szCs w:val="20"/>
                  <w:lang w:val="en-GB"/>
                </w:rPr>
                <w:t>Kiat</w:t>
              </w:r>
              <w:proofErr w:type="spellEnd"/>
              <w:r w:rsidR="007F2A42" w:rsidRPr="00EE01B4">
                <w:rPr>
                  <w:rStyle w:val="Hyperlink"/>
                  <w:sz w:val="20"/>
                  <w:szCs w:val="20"/>
                  <w:lang w:val="en-GB"/>
                </w:rPr>
                <w:t xml:space="preserve"> </w:t>
              </w:r>
              <w:proofErr w:type="spellStart"/>
              <w:r w:rsidR="007F2A42" w:rsidRPr="00EE01B4">
                <w:rPr>
                  <w:rStyle w:val="Hyperlink"/>
                  <w:sz w:val="20"/>
                  <w:szCs w:val="20"/>
                  <w:lang w:val="en-GB"/>
                </w:rPr>
                <w:t>Ngong</w:t>
              </w:r>
              <w:proofErr w:type="spellEnd"/>
              <w:r w:rsidR="007F2A42" w:rsidRPr="00EE01B4">
                <w:rPr>
                  <w:rStyle w:val="Hyperlink"/>
                  <w:sz w:val="20"/>
                  <w:szCs w:val="20"/>
                  <w:lang w:val="en-GB"/>
                </w:rPr>
                <w:t xml:space="preserve"> Ramsar Site, Lao PDR</w:t>
              </w:r>
            </w:hyperlink>
          </w:p>
        </w:tc>
        <w:tc>
          <w:tcPr>
            <w:tcW w:w="2168" w:type="dxa"/>
          </w:tcPr>
          <w:p w:rsidR="007F2A42" w:rsidRPr="00EE01B4" w:rsidRDefault="007F2A42" w:rsidP="00B5352E">
            <w:pPr>
              <w:rPr>
                <w:rFonts w:cs="Arial"/>
                <w:sz w:val="20"/>
                <w:szCs w:val="20"/>
                <w:lang w:val="en-GB"/>
              </w:rPr>
            </w:pPr>
          </w:p>
        </w:tc>
        <w:tc>
          <w:tcPr>
            <w:tcW w:w="2581" w:type="dxa"/>
          </w:tcPr>
          <w:p w:rsidR="007F2A42" w:rsidRPr="00EE01B4" w:rsidRDefault="007F2A42" w:rsidP="00B5352E">
            <w:pPr>
              <w:rPr>
                <w:rFonts w:cs="Arial"/>
                <w:sz w:val="20"/>
                <w:szCs w:val="20"/>
                <w:lang w:val="en-GB"/>
              </w:rPr>
            </w:pPr>
          </w:p>
        </w:tc>
        <w:tc>
          <w:tcPr>
            <w:tcW w:w="1259" w:type="dxa"/>
          </w:tcPr>
          <w:p w:rsidR="007F2A42" w:rsidRPr="00EE01B4" w:rsidRDefault="007F2A42" w:rsidP="00B5352E">
            <w:pPr>
              <w:rPr>
                <w:rFonts w:cs="Arial"/>
                <w:sz w:val="20"/>
                <w:szCs w:val="20"/>
                <w:lang w:val="en-GB"/>
              </w:rPr>
            </w:pPr>
          </w:p>
        </w:tc>
        <w:tc>
          <w:tcPr>
            <w:tcW w:w="1259" w:type="dxa"/>
          </w:tcPr>
          <w:p w:rsidR="007F2A42" w:rsidRPr="00EE01B4" w:rsidRDefault="007F2A42" w:rsidP="00B5352E">
            <w:pPr>
              <w:rPr>
                <w:sz w:val="20"/>
                <w:szCs w:val="20"/>
                <w:lang w:val="fr-FR"/>
              </w:rPr>
            </w:pPr>
            <w:r w:rsidRPr="00EE01B4">
              <w:rPr>
                <w:sz w:val="20"/>
                <w:szCs w:val="20"/>
                <w:lang w:val="fr-FR"/>
              </w:rPr>
              <w:t>E</w:t>
            </w:r>
          </w:p>
        </w:tc>
        <w:tc>
          <w:tcPr>
            <w:tcW w:w="5296" w:type="dxa"/>
          </w:tcPr>
          <w:p w:rsidR="007F2A42" w:rsidRPr="00EE01B4" w:rsidRDefault="007F2A42" w:rsidP="00B5352E">
            <w:pPr>
              <w:spacing w:after="40"/>
              <w:rPr>
                <w:color w:val="000000" w:themeColor="text1"/>
                <w:sz w:val="20"/>
                <w:szCs w:val="20"/>
                <w:lang w:val="fr-FR"/>
              </w:rPr>
            </w:pPr>
            <w:r w:rsidRPr="00EE01B4">
              <w:rPr>
                <w:color w:val="000000" w:themeColor="text1"/>
                <w:sz w:val="20"/>
                <w:szCs w:val="20"/>
                <w:lang w:val="fr-FR"/>
              </w:rPr>
              <w:t>UICN</w:t>
            </w:r>
          </w:p>
        </w:tc>
      </w:tr>
      <w:tr w:rsidR="007F2A42" w:rsidRPr="00EE01B4" w:rsidTr="009E2D28">
        <w:tc>
          <w:tcPr>
            <w:tcW w:w="3051" w:type="dxa"/>
          </w:tcPr>
          <w:p w:rsidR="007F2A42" w:rsidRPr="00EE01B4" w:rsidRDefault="00DF180B" w:rsidP="00B5352E">
            <w:pPr>
              <w:spacing w:after="40"/>
              <w:rPr>
                <w:sz w:val="20"/>
                <w:szCs w:val="20"/>
                <w:lang w:val="en-GB"/>
              </w:rPr>
            </w:pPr>
            <w:hyperlink r:id="rId195" w:history="1">
              <w:r w:rsidR="007F2A42" w:rsidRPr="00EE01B4">
                <w:rPr>
                  <w:rStyle w:val="Hyperlink"/>
                  <w:sz w:val="20"/>
                  <w:szCs w:val="20"/>
                  <w:lang w:val="en-GB"/>
                </w:rPr>
                <w:t>Safe havens : protected areas for disaster risk reduction and climate change adaptation</w:t>
              </w:r>
            </w:hyperlink>
          </w:p>
        </w:tc>
        <w:tc>
          <w:tcPr>
            <w:tcW w:w="2168" w:type="dxa"/>
          </w:tcPr>
          <w:p w:rsidR="007F2A42" w:rsidRPr="00EE01B4" w:rsidRDefault="007F2A42" w:rsidP="00B5352E">
            <w:pPr>
              <w:rPr>
                <w:rFonts w:cs="Arial"/>
                <w:sz w:val="20"/>
                <w:szCs w:val="20"/>
                <w:lang w:val="en-GB"/>
              </w:rPr>
            </w:pPr>
          </w:p>
        </w:tc>
        <w:tc>
          <w:tcPr>
            <w:tcW w:w="2581" w:type="dxa"/>
          </w:tcPr>
          <w:p w:rsidR="007F2A42" w:rsidRPr="00EE01B4" w:rsidRDefault="007F2A42" w:rsidP="00B5352E">
            <w:pPr>
              <w:rPr>
                <w:rFonts w:cs="Arial"/>
                <w:sz w:val="20"/>
                <w:szCs w:val="20"/>
                <w:lang w:val="en-GB"/>
              </w:rPr>
            </w:pPr>
          </w:p>
        </w:tc>
        <w:tc>
          <w:tcPr>
            <w:tcW w:w="1259" w:type="dxa"/>
          </w:tcPr>
          <w:p w:rsidR="007F2A42" w:rsidRPr="00EE01B4" w:rsidRDefault="007F2A42" w:rsidP="00B5352E">
            <w:pPr>
              <w:rPr>
                <w:rFonts w:cs="Arial"/>
                <w:sz w:val="20"/>
                <w:szCs w:val="20"/>
                <w:lang w:val="en-GB"/>
              </w:rPr>
            </w:pPr>
          </w:p>
        </w:tc>
        <w:tc>
          <w:tcPr>
            <w:tcW w:w="1259" w:type="dxa"/>
          </w:tcPr>
          <w:p w:rsidR="007F2A42" w:rsidRPr="00EE01B4" w:rsidRDefault="007F2A42" w:rsidP="00B5352E">
            <w:pPr>
              <w:rPr>
                <w:sz w:val="20"/>
                <w:szCs w:val="20"/>
                <w:lang w:val="fr-FR"/>
              </w:rPr>
            </w:pPr>
            <w:r w:rsidRPr="00EE01B4">
              <w:rPr>
                <w:sz w:val="20"/>
                <w:szCs w:val="20"/>
                <w:lang w:val="fr-FR"/>
              </w:rPr>
              <w:t>E</w:t>
            </w:r>
          </w:p>
        </w:tc>
        <w:tc>
          <w:tcPr>
            <w:tcW w:w="5296" w:type="dxa"/>
          </w:tcPr>
          <w:p w:rsidR="007F2A42" w:rsidRPr="00EE01B4" w:rsidRDefault="007F2A42" w:rsidP="00B5352E">
            <w:pPr>
              <w:spacing w:after="40"/>
              <w:rPr>
                <w:color w:val="000000" w:themeColor="text1"/>
                <w:sz w:val="20"/>
                <w:szCs w:val="20"/>
                <w:lang w:val="fr-FR"/>
              </w:rPr>
            </w:pPr>
            <w:r w:rsidRPr="00EE01B4">
              <w:rPr>
                <w:color w:val="000000" w:themeColor="text1"/>
                <w:sz w:val="20"/>
                <w:szCs w:val="20"/>
                <w:lang w:val="fr-FR"/>
              </w:rPr>
              <w:t>UICN, KNCF, Blue Solutions</w:t>
            </w:r>
          </w:p>
        </w:tc>
      </w:tr>
      <w:tr w:rsidR="007F2A42" w:rsidRPr="00EE01B4" w:rsidTr="009E2D28">
        <w:tc>
          <w:tcPr>
            <w:tcW w:w="3051" w:type="dxa"/>
          </w:tcPr>
          <w:p w:rsidR="007F2A42" w:rsidRPr="00EE01B4" w:rsidRDefault="00DF180B" w:rsidP="00B5352E">
            <w:pPr>
              <w:spacing w:after="40"/>
              <w:rPr>
                <w:sz w:val="20"/>
                <w:szCs w:val="20"/>
                <w:lang w:val="en-GB"/>
              </w:rPr>
            </w:pPr>
            <w:hyperlink r:id="rId196" w:history="1">
              <w:r w:rsidR="007F2A42" w:rsidRPr="00EE01B4">
                <w:rPr>
                  <w:rStyle w:val="Hyperlink"/>
                  <w:sz w:val="20"/>
                  <w:szCs w:val="20"/>
                  <w:lang w:val="en-GB"/>
                </w:rPr>
                <w:t>Mitigating climate change through restoration and management of coastal wetlands and near-shore marine ecosystems : challenges and opportunities</w:t>
              </w:r>
            </w:hyperlink>
          </w:p>
        </w:tc>
        <w:tc>
          <w:tcPr>
            <w:tcW w:w="2168" w:type="dxa"/>
          </w:tcPr>
          <w:p w:rsidR="007F2A42" w:rsidRPr="00EE01B4" w:rsidRDefault="007F2A42" w:rsidP="00B5352E">
            <w:pPr>
              <w:rPr>
                <w:rFonts w:cs="Arial"/>
                <w:sz w:val="20"/>
                <w:szCs w:val="20"/>
                <w:lang w:val="en-GB"/>
              </w:rPr>
            </w:pPr>
          </w:p>
        </w:tc>
        <w:tc>
          <w:tcPr>
            <w:tcW w:w="2581" w:type="dxa"/>
          </w:tcPr>
          <w:p w:rsidR="007F2A42" w:rsidRPr="00EE01B4" w:rsidRDefault="007F2A42" w:rsidP="00B5352E">
            <w:pPr>
              <w:rPr>
                <w:rFonts w:cs="Arial"/>
                <w:sz w:val="20"/>
                <w:szCs w:val="20"/>
                <w:lang w:val="en-GB"/>
              </w:rPr>
            </w:pPr>
          </w:p>
        </w:tc>
        <w:tc>
          <w:tcPr>
            <w:tcW w:w="1259" w:type="dxa"/>
          </w:tcPr>
          <w:p w:rsidR="007F2A42" w:rsidRPr="00EE01B4" w:rsidRDefault="007F2A42" w:rsidP="00B5352E">
            <w:pPr>
              <w:rPr>
                <w:rFonts w:cs="Arial"/>
                <w:sz w:val="20"/>
                <w:szCs w:val="20"/>
                <w:lang w:val="en-GB"/>
              </w:rPr>
            </w:pPr>
          </w:p>
        </w:tc>
        <w:tc>
          <w:tcPr>
            <w:tcW w:w="1259" w:type="dxa"/>
          </w:tcPr>
          <w:p w:rsidR="007F2A42" w:rsidRPr="00EE01B4" w:rsidRDefault="007F2A42" w:rsidP="00B5352E">
            <w:pPr>
              <w:rPr>
                <w:sz w:val="20"/>
                <w:szCs w:val="20"/>
                <w:lang w:val="fr-FR"/>
              </w:rPr>
            </w:pPr>
            <w:r w:rsidRPr="00EE01B4">
              <w:rPr>
                <w:sz w:val="20"/>
                <w:szCs w:val="20"/>
                <w:lang w:val="fr-FR"/>
              </w:rPr>
              <w:t>E</w:t>
            </w:r>
          </w:p>
        </w:tc>
        <w:tc>
          <w:tcPr>
            <w:tcW w:w="5296" w:type="dxa"/>
          </w:tcPr>
          <w:p w:rsidR="007F2A42" w:rsidRPr="00EE01B4" w:rsidRDefault="007F2A42" w:rsidP="005550AC">
            <w:pPr>
              <w:spacing w:after="40"/>
              <w:rPr>
                <w:color w:val="000000" w:themeColor="text1"/>
                <w:sz w:val="20"/>
                <w:szCs w:val="20"/>
                <w:lang w:val="fr-FR"/>
              </w:rPr>
            </w:pPr>
            <w:r w:rsidRPr="00EE01B4">
              <w:rPr>
                <w:color w:val="000000" w:themeColor="text1"/>
                <w:sz w:val="20"/>
                <w:szCs w:val="20"/>
                <w:lang w:val="fr-FR"/>
              </w:rPr>
              <w:t>UICN, Banque mondiale, ESA</w:t>
            </w:r>
          </w:p>
        </w:tc>
      </w:tr>
      <w:tr w:rsidR="007F2A42" w:rsidRPr="00EE01B4" w:rsidTr="009E2D28">
        <w:tc>
          <w:tcPr>
            <w:tcW w:w="3051" w:type="dxa"/>
          </w:tcPr>
          <w:p w:rsidR="007F2A42" w:rsidRPr="00EE01B4" w:rsidRDefault="00DF180B" w:rsidP="00B5352E">
            <w:pPr>
              <w:spacing w:after="40"/>
              <w:rPr>
                <w:sz w:val="20"/>
                <w:szCs w:val="20"/>
                <w:lang w:val="es-ES"/>
              </w:rPr>
            </w:pPr>
            <w:hyperlink r:id="rId197" w:history="1">
              <w:r w:rsidR="007F2A42" w:rsidRPr="00EE01B4">
                <w:rPr>
                  <w:rStyle w:val="Hyperlink"/>
                  <w:sz w:val="20"/>
                  <w:szCs w:val="20"/>
                  <w:lang w:val="es-ES"/>
                </w:rPr>
                <w:t>El cambio climático y los humedales en Centroamérica : implicaciones de la variación climática para los ecosistemas acuáticos y su manejo en la región</w:t>
              </w:r>
            </w:hyperlink>
          </w:p>
        </w:tc>
        <w:tc>
          <w:tcPr>
            <w:tcW w:w="2168" w:type="dxa"/>
          </w:tcPr>
          <w:p w:rsidR="007F2A42" w:rsidRPr="00EE01B4" w:rsidRDefault="007F2A42" w:rsidP="00B5352E">
            <w:pPr>
              <w:rPr>
                <w:rFonts w:cs="Arial"/>
                <w:sz w:val="20"/>
                <w:szCs w:val="20"/>
                <w:lang w:val="es-ES"/>
              </w:rPr>
            </w:pPr>
          </w:p>
        </w:tc>
        <w:tc>
          <w:tcPr>
            <w:tcW w:w="2581" w:type="dxa"/>
          </w:tcPr>
          <w:p w:rsidR="007F2A42" w:rsidRPr="00EE01B4" w:rsidRDefault="007F2A42" w:rsidP="00B5352E">
            <w:pPr>
              <w:rPr>
                <w:rFonts w:cs="Arial"/>
                <w:sz w:val="20"/>
                <w:szCs w:val="20"/>
                <w:lang w:val="es-ES"/>
              </w:rPr>
            </w:pPr>
          </w:p>
        </w:tc>
        <w:tc>
          <w:tcPr>
            <w:tcW w:w="1259" w:type="dxa"/>
          </w:tcPr>
          <w:p w:rsidR="007F2A42" w:rsidRPr="00EE01B4" w:rsidRDefault="007F2A42" w:rsidP="00B5352E">
            <w:pPr>
              <w:rPr>
                <w:rFonts w:cs="Arial"/>
                <w:sz w:val="20"/>
                <w:szCs w:val="20"/>
                <w:lang w:val="es-ES"/>
              </w:rPr>
            </w:pPr>
          </w:p>
        </w:tc>
        <w:tc>
          <w:tcPr>
            <w:tcW w:w="1259" w:type="dxa"/>
          </w:tcPr>
          <w:p w:rsidR="007F2A42" w:rsidRPr="00EE01B4" w:rsidRDefault="007F2A42" w:rsidP="00B5352E">
            <w:pPr>
              <w:rPr>
                <w:sz w:val="20"/>
                <w:szCs w:val="20"/>
                <w:lang w:val="fr-FR"/>
              </w:rPr>
            </w:pPr>
            <w:r w:rsidRPr="00EE01B4">
              <w:rPr>
                <w:sz w:val="20"/>
                <w:szCs w:val="20"/>
                <w:lang w:val="fr-FR"/>
              </w:rPr>
              <w:t>S</w:t>
            </w:r>
          </w:p>
        </w:tc>
        <w:tc>
          <w:tcPr>
            <w:tcW w:w="5296" w:type="dxa"/>
          </w:tcPr>
          <w:p w:rsidR="007F2A42" w:rsidRPr="00EE01B4" w:rsidRDefault="007F2A42" w:rsidP="00B5352E">
            <w:pPr>
              <w:spacing w:after="40"/>
              <w:rPr>
                <w:sz w:val="20"/>
                <w:szCs w:val="20"/>
                <w:lang w:val="fr-FR"/>
              </w:rPr>
            </w:pPr>
            <w:r w:rsidRPr="00EE01B4">
              <w:rPr>
                <w:sz w:val="20"/>
                <w:szCs w:val="20"/>
                <w:lang w:val="fr-FR"/>
              </w:rPr>
              <w:t>UICN</w:t>
            </w:r>
          </w:p>
        </w:tc>
      </w:tr>
      <w:tr w:rsidR="007F2A42" w:rsidRPr="00EE01B4" w:rsidTr="009E2D28">
        <w:tc>
          <w:tcPr>
            <w:tcW w:w="3051" w:type="dxa"/>
          </w:tcPr>
          <w:p w:rsidR="007F2A42" w:rsidRPr="00EE01B4" w:rsidRDefault="00DF180B" w:rsidP="00B5352E">
            <w:pPr>
              <w:spacing w:after="40"/>
              <w:rPr>
                <w:color w:val="0000FF" w:themeColor="hyperlink"/>
                <w:sz w:val="20"/>
                <w:szCs w:val="20"/>
                <w:u w:val="single"/>
                <w:lang w:val="en-GB"/>
              </w:rPr>
            </w:pPr>
            <w:hyperlink r:id="rId198" w:history="1">
              <w:r w:rsidR="007F2A42" w:rsidRPr="00EE01B4">
                <w:rPr>
                  <w:rStyle w:val="Hyperlink"/>
                  <w:sz w:val="20"/>
                  <w:szCs w:val="20"/>
                  <w:lang w:val="en-GB"/>
                </w:rPr>
                <w:t>Peatlands - guidance for climate change mitigation through conservation, rehabilitation and sustainable use</w:t>
              </w:r>
            </w:hyperlink>
          </w:p>
        </w:tc>
        <w:tc>
          <w:tcPr>
            <w:tcW w:w="2168" w:type="dxa"/>
          </w:tcPr>
          <w:p w:rsidR="007F2A42" w:rsidRPr="00EE01B4" w:rsidRDefault="007F2A42" w:rsidP="00B5352E">
            <w:pPr>
              <w:rPr>
                <w:rFonts w:cs="Arial"/>
                <w:sz w:val="20"/>
                <w:szCs w:val="20"/>
                <w:lang w:val="en-GB"/>
              </w:rPr>
            </w:pPr>
          </w:p>
        </w:tc>
        <w:tc>
          <w:tcPr>
            <w:tcW w:w="2581" w:type="dxa"/>
          </w:tcPr>
          <w:p w:rsidR="007F2A42" w:rsidRPr="00EE01B4" w:rsidRDefault="007F2A42" w:rsidP="00B5352E">
            <w:pPr>
              <w:rPr>
                <w:rFonts w:cs="Arial"/>
                <w:sz w:val="20"/>
                <w:szCs w:val="20"/>
                <w:lang w:val="en-GB"/>
              </w:rPr>
            </w:pPr>
          </w:p>
        </w:tc>
        <w:tc>
          <w:tcPr>
            <w:tcW w:w="1259" w:type="dxa"/>
          </w:tcPr>
          <w:p w:rsidR="007F2A42" w:rsidRPr="00EE01B4" w:rsidRDefault="007F2A42" w:rsidP="00B5352E">
            <w:pPr>
              <w:rPr>
                <w:rFonts w:cs="Arial"/>
                <w:sz w:val="20"/>
                <w:szCs w:val="20"/>
                <w:lang w:val="en-GB"/>
              </w:rPr>
            </w:pPr>
          </w:p>
        </w:tc>
        <w:tc>
          <w:tcPr>
            <w:tcW w:w="1259" w:type="dxa"/>
          </w:tcPr>
          <w:p w:rsidR="007F2A42" w:rsidRPr="00EE01B4" w:rsidRDefault="007F2A42" w:rsidP="00B5352E">
            <w:pPr>
              <w:rPr>
                <w:rFonts w:cs="Arial"/>
                <w:sz w:val="20"/>
                <w:szCs w:val="20"/>
                <w:lang w:val="fr-FR"/>
              </w:rPr>
            </w:pPr>
            <w:r w:rsidRPr="00EE01B4">
              <w:rPr>
                <w:rFonts w:cs="Arial"/>
                <w:sz w:val="20"/>
                <w:szCs w:val="20"/>
                <w:lang w:val="fr-FR"/>
              </w:rPr>
              <w:t>E</w:t>
            </w:r>
          </w:p>
        </w:tc>
        <w:tc>
          <w:tcPr>
            <w:tcW w:w="5296" w:type="dxa"/>
          </w:tcPr>
          <w:p w:rsidR="007F2A42" w:rsidRPr="00EE01B4" w:rsidRDefault="007F2A42" w:rsidP="00B5352E">
            <w:pPr>
              <w:spacing w:after="40"/>
              <w:rPr>
                <w:sz w:val="20"/>
                <w:szCs w:val="20"/>
                <w:lang w:val="fr-FR"/>
              </w:rPr>
            </w:pPr>
            <w:proofErr w:type="spellStart"/>
            <w:r w:rsidRPr="00EE01B4">
              <w:rPr>
                <w:sz w:val="20"/>
                <w:szCs w:val="20"/>
                <w:lang w:val="fr-FR"/>
              </w:rPr>
              <w:t>Wetlands</w:t>
            </w:r>
            <w:proofErr w:type="spellEnd"/>
            <w:r w:rsidRPr="00EE01B4">
              <w:rPr>
                <w:sz w:val="20"/>
                <w:szCs w:val="20"/>
                <w:lang w:val="fr-FR"/>
              </w:rPr>
              <w:t xml:space="preserve"> International et autres</w:t>
            </w:r>
          </w:p>
          <w:p w:rsidR="007F2A42" w:rsidRPr="00EE01B4" w:rsidRDefault="007F2A42" w:rsidP="005550AC">
            <w:pPr>
              <w:spacing w:after="40"/>
              <w:rPr>
                <w:sz w:val="20"/>
                <w:szCs w:val="20"/>
                <w:lang w:val="fr-FR"/>
              </w:rPr>
            </w:pPr>
            <w:r w:rsidRPr="00EE01B4">
              <w:rPr>
                <w:rFonts w:cs="Arial"/>
                <w:sz w:val="20"/>
                <w:szCs w:val="20"/>
                <w:u w:val="single"/>
                <w:lang w:val="fr-FR"/>
              </w:rPr>
              <w:t>Résumé</w:t>
            </w:r>
            <w:r w:rsidRPr="00EE01B4">
              <w:rPr>
                <w:rFonts w:cs="Arial"/>
                <w:sz w:val="20"/>
                <w:szCs w:val="20"/>
                <w:lang w:val="fr-FR"/>
              </w:rPr>
              <w:t xml:space="preserve"> : Ce rapport fournit des informations sur les options de gestion et de finance permettant d’obtenir des réductions d’émissions et de renforcer d’autres services écosystémiques vitaux des tourbières. Un arbre décisionnel d’appui guide les usagers à travers les options de gestion à la fois des tourbières cultivées et non cultivées. Le rapport résume aussi les méthodologies et les données disponibles </w:t>
            </w:r>
            <w:r w:rsidRPr="00EE01B4">
              <w:rPr>
                <w:sz w:val="20"/>
                <w:szCs w:val="20"/>
                <w:lang w:val="fr-FR"/>
              </w:rPr>
              <w:t xml:space="preserve">pour quantifier les émissions de gaz à effet de serre des tourbières et des sols organiques. Des approches pratiques sont présentées concernant la mesure, les rapports et la vérification ainsi que la comptabilité des émissions de gaz à effet de serre. Des études de cas spécifiques à certains pays illustrent les problèmes, les solutions et les possibilités associés à la gestion des tourbières. Ce rapport est un manuel pour les décideurs, les publics techniques et autres publics intéressés par les </w:t>
            </w:r>
            <w:r w:rsidRPr="00EE01B4">
              <w:rPr>
                <w:sz w:val="20"/>
                <w:szCs w:val="20"/>
                <w:lang w:val="fr-FR"/>
              </w:rPr>
              <w:lastRenderedPageBreak/>
              <w:t xml:space="preserve">tourbières. </w:t>
            </w:r>
          </w:p>
        </w:tc>
      </w:tr>
      <w:tr w:rsidR="007F2A42" w:rsidRPr="00EE01B4" w:rsidTr="009E2D28">
        <w:tc>
          <w:tcPr>
            <w:tcW w:w="3051" w:type="dxa"/>
          </w:tcPr>
          <w:p w:rsidR="007F2A42" w:rsidRPr="00EE01B4" w:rsidRDefault="00DF180B" w:rsidP="00B5352E">
            <w:pPr>
              <w:spacing w:after="40"/>
              <w:rPr>
                <w:color w:val="0000FF" w:themeColor="hyperlink"/>
                <w:sz w:val="20"/>
                <w:szCs w:val="20"/>
                <w:u w:val="single"/>
                <w:lang w:val="en-GB"/>
              </w:rPr>
            </w:pPr>
            <w:hyperlink r:id="rId199" w:history="1">
              <w:r w:rsidR="007F2A42" w:rsidRPr="00EE01B4">
                <w:rPr>
                  <w:rStyle w:val="Hyperlink"/>
                  <w:sz w:val="20"/>
                  <w:szCs w:val="20"/>
                  <w:lang w:val="en-GB"/>
                </w:rPr>
                <w:t>Assessment on peatlands, biodiversity and climate change</w:t>
              </w:r>
            </w:hyperlink>
          </w:p>
        </w:tc>
        <w:tc>
          <w:tcPr>
            <w:tcW w:w="2168" w:type="dxa"/>
          </w:tcPr>
          <w:p w:rsidR="007F2A42" w:rsidRPr="00EE01B4" w:rsidRDefault="007F2A42" w:rsidP="00B5352E">
            <w:pPr>
              <w:rPr>
                <w:rFonts w:cs="Arial"/>
                <w:sz w:val="20"/>
                <w:szCs w:val="20"/>
                <w:lang w:val="en-GB"/>
              </w:rPr>
            </w:pPr>
          </w:p>
        </w:tc>
        <w:tc>
          <w:tcPr>
            <w:tcW w:w="2581" w:type="dxa"/>
          </w:tcPr>
          <w:p w:rsidR="007F2A42" w:rsidRPr="00EE01B4" w:rsidRDefault="007F2A42" w:rsidP="00B5352E">
            <w:pPr>
              <w:rPr>
                <w:rFonts w:cs="Arial"/>
                <w:sz w:val="20"/>
                <w:szCs w:val="20"/>
                <w:lang w:val="en-GB"/>
              </w:rPr>
            </w:pPr>
          </w:p>
        </w:tc>
        <w:tc>
          <w:tcPr>
            <w:tcW w:w="1259" w:type="dxa"/>
          </w:tcPr>
          <w:p w:rsidR="007F2A42" w:rsidRPr="00EE01B4" w:rsidRDefault="007F2A42" w:rsidP="00B5352E">
            <w:pPr>
              <w:rPr>
                <w:rFonts w:cs="Arial"/>
                <w:sz w:val="20"/>
                <w:szCs w:val="20"/>
                <w:lang w:val="en-GB"/>
              </w:rPr>
            </w:pPr>
          </w:p>
        </w:tc>
        <w:tc>
          <w:tcPr>
            <w:tcW w:w="1259" w:type="dxa"/>
          </w:tcPr>
          <w:p w:rsidR="007F2A42" w:rsidRPr="00EE01B4" w:rsidRDefault="007F2A42" w:rsidP="00B5352E">
            <w:pPr>
              <w:rPr>
                <w:rFonts w:cs="Arial"/>
                <w:sz w:val="20"/>
                <w:szCs w:val="20"/>
                <w:lang w:val="fr-FR"/>
              </w:rPr>
            </w:pPr>
            <w:r w:rsidRPr="00EE01B4">
              <w:rPr>
                <w:rFonts w:cs="Arial"/>
                <w:sz w:val="20"/>
                <w:szCs w:val="20"/>
                <w:lang w:val="fr-FR"/>
              </w:rPr>
              <w:t>E</w:t>
            </w:r>
          </w:p>
        </w:tc>
        <w:tc>
          <w:tcPr>
            <w:tcW w:w="5296" w:type="dxa"/>
          </w:tcPr>
          <w:p w:rsidR="007F2A42" w:rsidRPr="00EE01B4" w:rsidRDefault="007F2A42" w:rsidP="00B5352E">
            <w:pPr>
              <w:spacing w:after="40"/>
              <w:rPr>
                <w:sz w:val="20"/>
                <w:szCs w:val="20"/>
                <w:lang w:val="fr-FR"/>
              </w:rPr>
            </w:pPr>
            <w:proofErr w:type="spellStart"/>
            <w:r w:rsidRPr="00EE01B4">
              <w:rPr>
                <w:sz w:val="20"/>
                <w:szCs w:val="20"/>
                <w:lang w:val="fr-FR"/>
              </w:rPr>
              <w:t>Wetlands</w:t>
            </w:r>
            <w:proofErr w:type="spellEnd"/>
            <w:r w:rsidRPr="00EE01B4">
              <w:rPr>
                <w:sz w:val="20"/>
                <w:szCs w:val="20"/>
                <w:lang w:val="fr-FR"/>
              </w:rPr>
              <w:t xml:space="preserve"> International et autres</w:t>
            </w:r>
          </w:p>
          <w:p w:rsidR="007F2A42" w:rsidRPr="00EE01B4" w:rsidRDefault="007F2A42" w:rsidP="005550AC">
            <w:pPr>
              <w:spacing w:after="40"/>
              <w:rPr>
                <w:sz w:val="20"/>
                <w:szCs w:val="20"/>
                <w:lang w:val="fr-FR"/>
              </w:rPr>
            </w:pPr>
            <w:r w:rsidRPr="00EE01B4">
              <w:rPr>
                <w:rFonts w:cs="Arial"/>
                <w:sz w:val="20"/>
                <w:szCs w:val="20"/>
                <w:u w:val="single"/>
                <w:lang w:val="fr-FR"/>
              </w:rPr>
              <w:t>Résumé</w:t>
            </w:r>
            <w:r w:rsidRPr="00EE01B4">
              <w:rPr>
                <w:rFonts w:cs="Arial"/>
                <w:sz w:val="20"/>
                <w:szCs w:val="20"/>
                <w:lang w:val="fr-FR"/>
              </w:rPr>
              <w:t xml:space="preserve"> : L’Évaluation mondiale des tourbières, de la biodiversité et des changements climatiques … comprend des analyses de l’information issue de nombreuses études du monde entier sur différents aspects des fonctions des tourbières, de leurs valeurs et de leur gestion et de leur importance à la fois pour la conservation de la biodiversité et la régulation du climat mondial… L’Évaluation a été préparée au moyen d’une étude de l’information scientifique sur la nature et la valeur des tourbières du point de vue de la biodiversité et des changements climatiques, de l’impact des activités anthropiques et des options de gestion durable éventuelles. </w:t>
            </w:r>
          </w:p>
        </w:tc>
      </w:tr>
      <w:tr w:rsidR="007F2A42" w:rsidRPr="00EE01B4" w:rsidTr="009E2D28">
        <w:tc>
          <w:tcPr>
            <w:tcW w:w="3051" w:type="dxa"/>
          </w:tcPr>
          <w:p w:rsidR="007F2A42" w:rsidRPr="00EE01B4" w:rsidRDefault="00DF180B" w:rsidP="00B5352E">
            <w:pPr>
              <w:spacing w:after="40"/>
              <w:rPr>
                <w:color w:val="0000FF" w:themeColor="hyperlink"/>
                <w:sz w:val="20"/>
                <w:szCs w:val="20"/>
                <w:u w:val="single"/>
                <w:lang w:val="en-GB"/>
              </w:rPr>
            </w:pPr>
            <w:hyperlink r:id="rId200" w:history="1">
              <w:r w:rsidR="007F2A42" w:rsidRPr="00EE01B4">
                <w:rPr>
                  <w:rStyle w:val="Hyperlink"/>
                  <w:sz w:val="20"/>
                  <w:szCs w:val="20"/>
                  <w:lang w:val="en-GB"/>
                </w:rPr>
                <w:t>The Economics of Ecosystems and Biodiversity for Water and Wetlands</w:t>
              </w:r>
            </w:hyperlink>
          </w:p>
        </w:tc>
        <w:tc>
          <w:tcPr>
            <w:tcW w:w="2168" w:type="dxa"/>
          </w:tcPr>
          <w:p w:rsidR="007F2A42" w:rsidRPr="00EE01B4" w:rsidRDefault="007F2A42" w:rsidP="00B5352E">
            <w:pPr>
              <w:rPr>
                <w:rFonts w:cs="Arial"/>
                <w:sz w:val="20"/>
                <w:szCs w:val="20"/>
                <w:lang w:val="en-GB"/>
              </w:rPr>
            </w:pPr>
          </w:p>
        </w:tc>
        <w:tc>
          <w:tcPr>
            <w:tcW w:w="2581" w:type="dxa"/>
          </w:tcPr>
          <w:p w:rsidR="007F2A42" w:rsidRPr="00EE01B4" w:rsidRDefault="007F2A42" w:rsidP="00B5352E">
            <w:pPr>
              <w:rPr>
                <w:rFonts w:cs="Arial"/>
                <w:sz w:val="20"/>
                <w:szCs w:val="20"/>
                <w:lang w:val="en-GB"/>
              </w:rPr>
            </w:pPr>
          </w:p>
        </w:tc>
        <w:tc>
          <w:tcPr>
            <w:tcW w:w="1259" w:type="dxa"/>
          </w:tcPr>
          <w:p w:rsidR="007F2A42" w:rsidRPr="00EE01B4" w:rsidRDefault="007F2A42" w:rsidP="00B5352E">
            <w:pPr>
              <w:rPr>
                <w:rFonts w:cs="Arial"/>
                <w:sz w:val="20"/>
                <w:szCs w:val="20"/>
                <w:lang w:val="en-GB"/>
              </w:rPr>
            </w:pPr>
          </w:p>
        </w:tc>
        <w:tc>
          <w:tcPr>
            <w:tcW w:w="1259" w:type="dxa"/>
          </w:tcPr>
          <w:p w:rsidR="007F2A42" w:rsidRPr="00EE01B4" w:rsidRDefault="007F2A42" w:rsidP="002334BA">
            <w:pPr>
              <w:rPr>
                <w:rFonts w:cs="Arial"/>
                <w:sz w:val="20"/>
                <w:szCs w:val="20"/>
                <w:lang w:val="fr-FR"/>
              </w:rPr>
            </w:pPr>
            <w:r w:rsidRPr="00EE01B4">
              <w:rPr>
                <w:sz w:val="20"/>
                <w:szCs w:val="20"/>
                <w:lang w:val="fr-FR"/>
              </w:rPr>
              <w:t>E (résumé disponible en EFSRAC)</w:t>
            </w:r>
          </w:p>
        </w:tc>
        <w:tc>
          <w:tcPr>
            <w:tcW w:w="5296" w:type="dxa"/>
          </w:tcPr>
          <w:p w:rsidR="007F2A42" w:rsidRPr="00EE01B4" w:rsidRDefault="007F2A42" w:rsidP="00B5352E">
            <w:pPr>
              <w:spacing w:after="40"/>
              <w:rPr>
                <w:sz w:val="20"/>
                <w:szCs w:val="20"/>
                <w:lang w:val="fr-FR"/>
              </w:rPr>
            </w:pPr>
            <w:r w:rsidRPr="00EE01B4">
              <w:rPr>
                <w:sz w:val="20"/>
                <w:szCs w:val="20"/>
                <w:lang w:val="fr-FR"/>
              </w:rPr>
              <w:t>IEEP et Ramsar</w:t>
            </w:r>
          </w:p>
          <w:p w:rsidR="007F2A42" w:rsidRPr="00EE01B4" w:rsidRDefault="007F2A42" w:rsidP="002334BA">
            <w:pPr>
              <w:spacing w:after="40"/>
              <w:rPr>
                <w:sz w:val="20"/>
                <w:szCs w:val="20"/>
                <w:lang w:val="fr-FR"/>
              </w:rPr>
            </w:pPr>
            <w:r w:rsidRPr="00EE01B4">
              <w:rPr>
                <w:rFonts w:cs="Arial"/>
                <w:sz w:val="20"/>
                <w:szCs w:val="20"/>
                <w:u w:val="single"/>
                <w:lang w:val="fr-FR"/>
              </w:rPr>
              <w:t>Résumé</w:t>
            </w:r>
            <w:r w:rsidRPr="00EE01B4">
              <w:rPr>
                <w:rFonts w:cs="Arial"/>
                <w:sz w:val="20"/>
                <w:szCs w:val="20"/>
                <w:lang w:val="fr-FR"/>
              </w:rPr>
              <w:t xml:space="preserve"> : </w:t>
            </w:r>
            <w:r w:rsidRPr="00EE01B4">
              <w:rPr>
                <w:sz w:val="20"/>
                <w:szCs w:val="20"/>
                <w:lang w:val="fr-FR"/>
              </w:rPr>
              <w:t xml:space="preserve">TEEB pour l’eau et les zones humides a pour objet de montrer comment en reconnaissant, démontrant et comprenant les valeurs des services écosystémiques procurés par l’eau et les zones humides peuvent aboutir à une prise de décisions mieux informée, plus efficace et plus juste… Il porte sur les ‘valeurs’ des services écosystémiques fournis par l’eau et les zones humides, que l’on peut exprimer par de nombreuses manières et méthodes … Ce rapport a pour objet de soutenir une prise de décisions fondée sur des éléments de preuve en présentant toute une gamme de valeurs de services écosystémiques dans des contextes variables. Le rapport comprend des exemples de projets de restauration des zones humides et discute du rôle des zones humides par rapport à la régulation du climat. </w:t>
            </w:r>
          </w:p>
        </w:tc>
      </w:tr>
      <w:tr w:rsidR="007F2A42" w:rsidRPr="00EE01B4" w:rsidTr="009E2D28">
        <w:tc>
          <w:tcPr>
            <w:tcW w:w="3051" w:type="dxa"/>
          </w:tcPr>
          <w:p w:rsidR="007F2A42" w:rsidRPr="00EE01B4" w:rsidRDefault="00DF180B" w:rsidP="00B5352E">
            <w:pPr>
              <w:spacing w:after="40"/>
              <w:rPr>
                <w:color w:val="0000FF" w:themeColor="hyperlink"/>
                <w:sz w:val="20"/>
                <w:szCs w:val="20"/>
                <w:u w:val="single"/>
                <w:lang w:val="en-GB"/>
              </w:rPr>
            </w:pPr>
            <w:hyperlink r:id="rId201" w:history="1">
              <w:r w:rsidR="007F2A42" w:rsidRPr="00EE01B4">
                <w:rPr>
                  <w:rStyle w:val="Hyperlink"/>
                  <w:sz w:val="20"/>
                  <w:szCs w:val="20"/>
                  <w:lang w:val="en-GB"/>
                </w:rPr>
                <w:t>Guiding principles for delivering coastal wetland carbon projects</w:t>
              </w:r>
            </w:hyperlink>
          </w:p>
        </w:tc>
        <w:tc>
          <w:tcPr>
            <w:tcW w:w="2168" w:type="dxa"/>
          </w:tcPr>
          <w:p w:rsidR="007F2A42" w:rsidRPr="00EE01B4" w:rsidRDefault="007F2A42" w:rsidP="00B5352E">
            <w:pPr>
              <w:rPr>
                <w:rFonts w:cs="Arial"/>
                <w:sz w:val="20"/>
                <w:szCs w:val="20"/>
                <w:lang w:val="en-GB"/>
              </w:rPr>
            </w:pPr>
          </w:p>
        </w:tc>
        <w:tc>
          <w:tcPr>
            <w:tcW w:w="2581" w:type="dxa"/>
          </w:tcPr>
          <w:p w:rsidR="007F2A42" w:rsidRPr="00EE01B4" w:rsidRDefault="007F2A42" w:rsidP="00B5352E">
            <w:pPr>
              <w:rPr>
                <w:rFonts w:cs="Arial"/>
                <w:sz w:val="20"/>
                <w:szCs w:val="20"/>
                <w:lang w:val="en-GB"/>
              </w:rPr>
            </w:pPr>
          </w:p>
        </w:tc>
        <w:tc>
          <w:tcPr>
            <w:tcW w:w="1259" w:type="dxa"/>
          </w:tcPr>
          <w:p w:rsidR="007F2A42" w:rsidRPr="00EE01B4" w:rsidRDefault="007F2A42" w:rsidP="00B5352E">
            <w:pPr>
              <w:rPr>
                <w:rFonts w:cs="Arial"/>
                <w:sz w:val="20"/>
                <w:szCs w:val="20"/>
                <w:lang w:val="en-GB"/>
              </w:rPr>
            </w:pPr>
          </w:p>
        </w:tc>
        <w:tc>
          <w:tcPr>
            <w:tcW w:w="1259" w:type="dxa"/>
          </w:tcPr>
          <w:p w:rsidR="007F2A42" w:rsidRPr="00EE01B4" w:rsidRDefault="007F2A42" w:rsidP="00B5352E">
            <w:pPr>
              <w:rPr>
                <w:rFonts w:cs="Arial"/>
                <w:sz w:val="20"/>
                <w:szCs w:val="20"/>
                <w:lang w:val="fr-FR"/>
              </w:rPr>
            </w:pPr>
            <w:r w:rsidRPr="00EE01B4">
              <w:rPr>
                <w:rFonts w:cs="Arial"/>
                <w:sz w:val="20"/>
                <w:szCs w:val="20"/>
                <w:lang w:val="fr-FR"/>
              </w:rPr>
              <w:t>E</w:t>
            </w:r>
          </w:p>
        </w:tc>
        <w:tc>
          <w:tcPr>
            <w:tcW w:w="5296" w:type="dxa"/>
          </w:tcPr>
          <w:p w:rsidR="007F2A42" w:rsidRPr="00EE01B4" w:rsidRDefault="007F2A42" w:rsidP="00B5352E">
            <w:pPr>
              <w:spacing w:after="40"/>
              <w:rPr>
                <w:sz w:val="20"/>
                <w:szCs w:val="20"/>
                <w:lang w:val="fr-FR"/>
              </w:rPr>
            </w:pPr>
            <w:r w:rsidRPr="00EE01B4">
              <w:rPr>
                <w:sz w:val="20"/>
                <w:szCs w:val="20"/>
                <w:lang w:val="fr-FR"/>
              </w:rPr>
              <w:t>PNUE, CIFOR et autres</w:t>
            </w:r>
          </w:p>
          <w:p w:rsidR="007F2A42" w:rsidRPr="00EE01B4" w:rsidRDefault="007F2A42" w:rsidP="004C6C34">
            <w:pPr>
              <w:spacing w:after="40"/>
              <w:rPr>
                <w:sz w:val="20"/>
                <w:szCs w:val="20"/>
                <w:lang w:val="fr-FR"/>
              </w:rPr>
            </w:pPr>
            <w:r w:rsidRPr="00EE01B4">
              <w:rPr>
                <w:rFonts w:cs="Arial"/>
                <w:sz w:val="20"/>
                <w:szCs w:val="20"/>
                <w:u w:val="single"/>
                <w:lang w:val="fr-FR"/>
              </w:rPr>
              <w:t>Résumé</w:t>
            </w:r>
            <w:r w:rsidRPr="00EE01B4">
              <w:rPr>
                <w:rFonts w:cs="Arial"/>
                <w:sz w:val="20"/>
                <w:szCs w:val="20"/>
                <w:lang w:val="fr-FR"/>
              </w:rPr>
              <w:t xml:space="preserve"> : Ce document fournit des orientations fondées sur les connaissances pour toute une gamme d’interventions, y compris des actions politiques, des actions de gestion ajustée ou des investissements fondés sur les projets qui entraînent une amélioration de l’état des zones humides côtières pour l’atténuation des changements climatiques et l’adaptation à ces changements. Des principes directeurs sont </w:t>
            </w:r>
            <w:r w:rsidRPr="00EE01B4">
              <w:rPr>
                <w:rFonts w:cs="Arial"/>
                <w:sz w:val="20"/>
                <w:szCs w:val="20"/>
                <w:lang w:val="fr-FR"/>
              </w:rPr>
              <w:lastRenderedPageBreak/>
              <w:t xml:space="preserve">identifiés à partir des enseignements acquis et des études de cas sur la gestion et la restauration des zones humides côtières ainsi que sur des projets-carbone terrestres. </w:t>
            </w:r>
          </w:p>
        </w:tc>
      </w:tr>
      <w:tr w:rsidR="007F2A42" w:rsidRPr="00EE01B4" w:rsidTr="009E2D28">
        <w:tc>
          <w:tcPr>
            <w:tcW w:w="3051" w:type="dxa"/>
          </w:tcPr>
          <w:p w:rsidR="007F2A42" w:rsidRPr="00EE01B4" w:rsidRDefault="00DF180B" w:rsidP="00B5352E">
            <w:pPr>
              <w:spacing w:after="40"/>
              <w:rPr>
                <w:color w:val="0000FF" w:themeColor="hyperlink"/>
                <w:sz w:val="20"/>
                <w:szCs w:val="20"/>
                <w:u w:val="single"/>
                <w:lang w:val="en-GB"/>
              </w:rPr>
            </w:pPr>
            <w:hyperlink r:id="rId202" w:history="1">
              <w:r w:rsidR="007F2A42" w:rsidRPr="00EE01B4">
                <w:rPr>
                  <w:rStyle w:val="Hyperlink"/>
                  <w:sz w:val="20"/>
                  <w:szCs w:val="20"/>
                  <w:lang w:val="en-GB"/>
                </w:rPr>
                <w:t>Peatlands, climate change mitigation and biodiversity conservation</w:t>
              </w:r>
            </w:hyperlink>
          </w:p>
        </w:tc>
        <w:tc>
          <w:tcPr>
            <w:tcW w:w="2168" w:type="dxa"/>
          </w:tcPr>
          <w:p w:rsidR="007F2A42" w:rsidRPr="00EE01B4" w:rsidRDefault="007F2A42" w:rsidP="00B5352E">
            <w:pPr>
              <w:rPr>
                <w:rFonts w:cs="Arial"/>
                <w:sz w:val="20"/>
                <w:szCs w:val="20"/>
                <w:lang w:val="en-GB"/>
              </w:rPr>
            </w:pPr>
          </w:p>
        </w:tc>
        <w:tc>
          <w:tcPr>
            <w:tcW w:w="2581" w:type="dxa"/>
          </w:tcPr>
          <w:p w:rsidR="007F2A42" w:rsidRPr="00EE01B4" w:rsidRDefault="007F2A42" w:rsidP="00B5352E">
            <w:pPr>
              <w:rPr>
                <w:rFonts w:cs="Arial"/>
                <w:sz w:val="20"/>
                <w:szCs w:val="20"/>
                <w:lang w:val="en-GB"/>
              </w:rPr>
            </w:pPr>
          </w:p>
        </w:tc>
        <w:tc>
          <w:tcPr>
            <w:tcW w:w="1259" w:type="dxa"/>
          </w:tcPr>
          <w:p w:rsidR="007F2A42" w:rsidRPr="00EE01B4" w:rsidRDefault="007F2A42" w:rsidP="00B5352E">
            <w:pPr>
              <w:rPr>
                <w:rFonts w:cs="Arial"/>
                <w:sz w:val="20"/>
                <w:szCs w:val="20"/>
                <w:lang w:val="en-GB"/>
              </w:rPr>
            </w:pPr>
          </w:p>
        </w:tc>
        <w:tc>
          <w:tcPr>
            <w:tcW w:w="1259" w:type="dxa"/>
          </w:tcPr>
          <w:p w:rsidR="007F2A42" w:rsidRPr="00EE01B4" w:rsidRDefault="007F2A42" w:rsidP="00B5352E">
            <w:pPr>
              <w:rPr>
                <w:rFonts w:cs="Arial"/>
                <w:sz w:val="20"/>
                <w:szCs w:val="20"/>
                <w:lang w:val="fr-FR"/>
              </w:rPr>
            </w:pPr>
            <w:r w:rsidRPr="00EE01B4">
              <w:rPr>
                <w:rFonts w:cs="Arial"/>
                <w:sz w:val="20"/>
                <w:szCs w:val="20"/>
                <w:lang w:val="fr-FR"/>
              </w:rPr>
              <w:t>E</w:t>
            </w:r>
          </w:p>
        </w:tc>
        <w:tc>
          <w:tcPr>
            <w:tcW w:w="5296" w:type="dxa"/>
          </w:tcPr>
          <w:p w:rsidR="007F2A42" w:rsidRPr="00EE01B4" w:rsidRDefault="007F2A42" w:rsidP="00B5352E">
            <w:pPr>
              <w:spacing w:after="40"/>
              <w:rPr>
                <w:sz w:val="20"/>
                <w:szCs w:val="20"/>
                <w:lang w:val="fr-FR"/>
              </w:rPr>
            </w:pPr>
            <w:proofErr w:type="spellStart"/>
            <w:r w:rsidRPr="00EE01B4">
              <w:rPr>
                <w:sz w:val="20"/>
                <w:szCs w:val="20"/>
                <w:lang w:val="fr-FR"/>
              </w:rPr>
              <w:t>Norden</w:t>
            </w:r>
            <w:proofErr w:type="spellEnd"/>
          </w:p>
          <w:p w:rsidR="007F2A42" w:rsidRPr="00EE01B4" w:rsidRDefault="007F2A42" w:rsidP="00656F56">
            <w:pPr>
              <w:spacing w:after="40"/>
              <w:rPr>
                <w:sz w:val="20"/>
                <w:szCs w:val="20"/>
                <w:lang w:val="fr-FR"/>
              </w:rPr>
            </w:pPr>
            <w:r w:rsidRPr="00EE01B4">
              <w:rPr>
                <w:rFonts w:cs="Arial"/>
                <w:sz w:val="20"/>
                <w:szCs w:val="20"/>
                <w:u w:val="single"/>
                <w:lang w:val="fr-FR"/>
              </w:rPr>
              <w:t>Résumé</w:t>
            </w:r>
            <w:r w:rsidRPr="00EE01B4">
              <w:rPr>
                <w:rFonts w:cs="Arial"/>
                <w:sz w:val="20"/>
                <w:szCs w:val="20"/>
                <w:lang w:val="fr-FR"/>
              </w:rPr>
              <w:t xml:space="preserve"> : Une note d’information sur l’importance des tourbières pour la conservation de la biodiversité et le carbone et le rôle des tourbières drainées en tant que points chauds des émissions de gaz à effet de serre. Une des recommandations du document est la promotion du rôle de la </w:t>
            </w:r>
            <w:proofErr w:type="spellStart"/>
            <w:r w:rsidRPr="00EE01B4">
              <w:rPr>
                <w:rFonts w:cs="Arial"/>
                <w:sz w:val="20"/>
                <w:szCs w:val="20"/>
                <w:lang w:val="fr-FR"/>
              </w:rPr>
              <w:t>réhumidification</w:t>
            </w:r>
            <w:proofErr w:type="spellEnd"/>
            <w:r w:rsidRPr="00EE01B4">
              <w:rPr>
                <w:rFonts w:cs="Arial"/>
                <w:sz w:val="20"/>
                <w:szCs w:val="20"/>
                <w:lang w:val="fr-FR"/>
              </w:rPr>
              <w:t xml:space="preserve"> et de la restauration des tourbières pour atteindre les objectifs politiques nationaux et internationaux, en particulier pour la régulation du climat, la qualité de l’eau et la conservation de la biodiversité. </w:t>
            </w:r>
            <w:r w:rsidRPr="00EE01B4">
              <w:rPr>
                <w:sz w:val="20"/>
                <w:szCs w:val="20"/>
                <w:lang w:val="fr-FR"/>
              </w:rPr>
              <w:t>“</w:t>
            </w:r>
          </w:p>
        </w:tc>
      </w:tr>
      <w:tr w:rsidR="007F2A42" w:rsidRPr="00EE01B4" w:rsidTr="009E2D28">
        <w:tc>
          <w:tcPr>
            <w:tcW w:w="3051" w:type="dxa"/>
          </w:tcPr>
          <w:p w:rsidR="007F2A42" w:rsidRPr="00EE01B4" w:rsidRDefault="00DF180B" w:rsidP="00B5352E">
            <w:pPr>
              <w:spacing w:after="40"/>
              <w:rPr>
                <w:color w:val="0000FF" w:themeColor="hyperlink"/>
                <w:sz w:val="20"/>
                <w:szCs w:val="20"/>
                <w:u w:val="single"/>
                <w:lang w:val="en-GB"/>
              </w:rPr>
            </w:pPr>
            <w:hyperlink r:id="rId203" w:history="1">
              <w:r w:rsidR="007F2A42" w:rsidRPr="00EE01B4">
                <w:rPr>
                  <w:rStyle w:val="Hyperlink"/>
                  <w:sz w:val="20"/>
                  <w:szCs w:val="20"/>
                  <w:lang w:val="en-GB"/>
                </w:rPr>
                <w:t>Peatlands and Climate Change in a Ramsar Context—a Nordic Baltic Perspective</w:t>
              </w:r>
            </w:hyperlink>
          </w:p>
        </w:tc>
        <w:tc>
          <w:tcPr>
            <w:tcW w:w="2168" w:type="dxa"/>
          </w:tcPr>
          <w:p w:rsidR="007F2A42" w:rsidRPr="00EE01B4" w:rsidRDefault="007F2A42" w:rsidP="00B5352E">
            <w:pPr>
              <w:rPr>
                <w:rFonts w:cs="Arial"/>
                <w:sz w:val="20"/>
                <w:szCs w:val="20"/>
                <w:lang w:val="en-GB"/>
              </w:rPr>
            </w:pPr>
          </w:p>
        </w:tc>
        <w:tc>
          <w:tcPr>
            <w:tcW w:w="2581" w:type="dxa"/>
          </w:tcPr>
          <w:p w:rsidR="007F2A42" w:rsidRPr="00EE01B4" w:rsidRDefault="007F2A42" w:rsidP="00B5352E">
            <w:pPr>
              <w:rPr>
                <w:rFonts w:cs="Arial"/>
                <w:sz w:val="20"/>
                <w:szCs w:val="20"/>
                <w:lang w:val="en-GB"/>
              </w:rPr>
            </w:pPr>
          </w:p>
        </w:tc>
        <w:tc>
          <w:tcPr>
            <w:tcW w:w="1259" w:type="dxa"/>
          </w:tcPr>
          <w:p w:rsidR="007F2A42" w:rsidRPr="00EE01B4" w:rsidRDefault="007F2A42" w:rsidP="00B5352E">
            <w:pPr>
              <w:rPr>
                <w:rFonts w:cs="Arial"/>
                <w:sz w:val="20"/>
                <w:szCs w:val="20"/>
                <w:lang w:val="en-GB"/>
              </w:rPr>
            </w:pPr>
          </w:p>
        </w:tc>
        <w:tc>
          <w:tcPr>
            <w:tcW w:w="1259" w:type="dxa"/>
          </w:tcPr>
          <w:p w:rsidR="007F2A42" w:rsidRPr="00EE01B4" w:rsidRDefault="007F2A42" w:rsidP="00B5352E">
            <w:pPr>
              <w:rPr>
                <w:rFonts w:cs="Arial"/>
                <w:sz w:val="20"/>
                <w:szCs w:val="20"/>
                <w:lang w:val="fr-FR"/>
              </w:rPr>
            </w:pPr>
            <w:r w:rsidRPr="00EE01B4">
              <w:rPr>
                <w:rFonts w:cs="Arial"/>
                <w:sz w:val="20"/>
                <w:szCs w:val="20"/>
                <w:lang w:val="fr-FR"/>
              </w:rPr>
              <w:t>E</w:t>
            </w:r>
          </w:p>
        </w:tc>
        <w:tc>
          <w:tcPr>
            <w:tcW w:w="5296" w:type="dxa"/>
          </w:tcPr>
          <w:p w:rsidR="007F2A42" w:rsidRPr="00EE01B4" w:rsidRDefault="007F2A42" w:rsidP="00B5352E">
            <w:pPr>
              <w:spacing w:after="40"/>
              <w:rPr>
                <w:sz w:val="20"/>
                <w:szCs w:val="20"/>
                <w:lang w:val="fr-FR"/>
              </w:rPr>
            </w:pPr>
            <w:proofErr w:type="spellStart"/>
            <w:r w:rsidRPr="00EE01B4">
              <w:rPr>
                <w:sz w:val="20"/>
                <w:szCs w:val="20"/>
                <w:lang w:val="fr-FR"/>
              </w:rPr>
              <w:t>Norden</w:t>
            </w:r>
            <w:proofErr w:type="spellEnd"/>
          </w:p>
          <w:p w:rsidR="007F2A42" w:rsidRPr="00EE01B4" w:rsidRDefault="007F2A42" w:rsidP="00656F56">
            <w:pPr>
              <w:spacing w:after="40"/>
              <w:rPr>
                <w:sz w:val="20"/>
                <w:szCs w:val="20"/>
                <w:lang w:val="fr-FR"/>
              </w:rPr>
            </w:pPr>
            <w:r w:rsidRPr="00EE01B4">
              <w:rPr>
                <w:rFonts w:cs="Arial"/>
                <w:sz w:val="20"/>
                <w:szCs w:val="20"/>
                <w:u w:val="single"/>
                <w:lang w:val="fr-FR"/>
              </w:rPr>
              <w:t>Résumé</w:t>
            </w:r>
            <w:r w:rsidRPr="00EE01B4">
              <w:rPr>
                <w:rFonts w:cs="Arial"/>
                <w:sz w:val="20"/>
                <w:szCs w:val="20"/>
                <w:lang w:val="fr-FR"/>
              </w:rPr>
              <w:t xml:space="preserve"> : L’Initiative pour les zones humides nordiques-baltiques </w:t>
            </w:r>
            <w:r w:rsidRPr="00EE01B4">
              <w:rPr>
                <w:sz w:val="20"/>
                <w:szCs w:val="20"/>
                <w:lang w:val="fr-FR"/>
              </w:rPr>
              <w:t>(</w:t>
            </w:r>
            <w:proofErr w:type="spellStart"/>
            <w:r w:rsidRPr="00EE01B4">
              <w:rPr>
                <w:sz w:val="20"/>
                <w:szCs w:val="20"/>
                <w:lang w:val="fr-FR"/>
              </w:rPr>
              <w:t>NorBalWet</w:t>
            </w:r>
            <w:proofErr w:type="spellEnd"/>
            <w:r w:rsidRPr="00EE01B4">
              <w:rPr>
                <w:sz w:val="20"/>
                <w:szCs w:val="20"/>
                <w:lang w:val="fr-FR"/>
              </w:rPr>
              <w:t xml:space="preserve">) est une initiative régionale Ramsar à laquelle participent le Danemark, le Groenland, les îles Féroé, l’Estonie, la Finlande, l’Islande, la Lettonie, la Lituanie, la Norvège, la Suède et les Oblasts du nord-ouest de la Russie… L’Initiative </w:t>
            </w:r>
            <w:proofErr w:type="spellStart"/>
            <w:r w:rsidRPr="00EE01B4">
              <w:rPr>
                <w:sz w:val="20"/>
                <w:szCs w:val="20"/>
                <w:lang w:val="fr-FR"/>
              </w:rPr>
              <w:t>NorBalWet</w:t>
            </w:r>
            <w:proofErr w:type="spellEnd"/>
            <w:r w:rsidRPr="00EE01B4">
              <w:rPr>
                <w:sz w:val="20"/>
                <w:szCs w:val="20"/>
                <w:lang w:val="fr-FR"/>
              </w:rPr>
              <w:t xml:space="preserve"> a lancé un projet d’évaluation de l’importance des tourbières nordiques-baltiques pour la régulation du climat. Avec une évaluation pays par pays, ce rapport discute des difficultés et des possibilités d’améliorer la gestion des tourbières dans les pays de </w:t>
            </w:r>
            <w:proofErr w:type="spellStart"/>
            <w:r w:rsidRPr="00EE01B4">
              <w:rPr>
                <w:sz w:val="20"/>
                <w:szCs w:val="20"/>
                <w:lang w:val="fr-FR"/>
              </w:rPr>
              <w:t>NorBalWet</w:t>
            </w:r>
            <w:proofErr w:type="spellEnd"/>
            <w:r w:rsidRPr="00EE01B4">
              <w:rPr>
                <w:sz w:val="20"/>
                <w:szCs w:val="20"/>
                <w:lang w:val="fr-FR"/>
              </w:rPr>
              <w:t xml:space="preserve"> pour l’atténuation des changements climatiques. </w:t>
            </w:r>
          </w:p>
        </w:tc>
      </w:tr>
      <w:tr w:rsidR="007F2A42" w:rsidRPr="00D65BE9" w:rsidTr="009E2D28">
        <w:tc>
          <w:tcPr>
            <w:tcW w:w="3051" w:type="dxa"/>
          </w:tcPr>
          <w:p w:rsidR="007F2A42" w:rsidRPr="00EE01B4" w:rsidRDefault="00DF180B" w:rsidP="00B5352E">
            <w:pPr>
              <w:spacing w:after="40"/>
              <w:rPr>
                <w:color w:val="0000FF" w:themeColor="hyperlink"/>
                <w:sz w:val="20"/>
                <w:szCs w:val="20"/>
                <w:u w:val="single"/>
                <w:lang w:val="en-GB"/>
              </w:rPr>
            </w:pPr>
            <w:hyperlink r:id="rId204" w:history="1">
              <w:r w:rsidR="007F2A42" w:rsidRPr="00EE01B4">
                <w:rPr>
                  <w:rStyle w:val="Hyperlink"/>
                  <w:sz w:val="20"/>
                  <w:szCs w:val="20"/>
                  <w:lang w:val="en-GB"/>
                </w:rPr>
                <w:t>Restoring the Great Lakes’ Coastal Future: Technical Guidance for the Design and Implementation of Climate-Smart Restoration Projects</w:t>
              </w:r>
            </w:hyperlink>
          </w:p>
        </w:tc>
        <w:tc>
          <w:tcPr>
            <w:tcW w:w="2168" w:type="dxa"/>
          </w:tcPr>
          <w:p w:rsidR="007F2A42" w:rsidRPr="00EE01B4" w:rsidRDefault="007F2A42" w:rsidP="00B5352E">
            <w:pPr>
              <w:rPr>
                <w:rFonts w:cs="Arial"/>
                <w:sz w:val="20"/>
                <w:szCs w:val="20"/>
                <w:lang w:val="en-GB"/>
              </w:rPr>
            </w:pPr>
          </w:p>
        </w:tc>
        <w:tc>
          <w:tcPr>
            <w:tcW w:w="2581" w:type="dxa"/>
          </w:tcPr>
          <w:p w:rsidR="007F2A42" w:rsidRPr="00EE01B4" w:rsidRDefault="007F2A42" w:rsidP="00B5352E">
            <w:pPr>
              <w:rPr>
                <w:rFonts w:cs="Arial"/>
                <w:sz w:val="20"/>
                <w:szCs w:val="20"/>
                <w:lang w:val="en-GB"/>
              </w:rPr>
            </w:pPr>
          </w:p>
        </w:tc>
        <w:tc>
          <w:tcPr>
            <w:tcW w:w="1259" w:type="dxa"/>
          </w:tcPr>
          <w:p w:rsidR="007F2A42" w:rsidRPr="00EE01B4" w:rsidRDefault="007F2A42" w:rsidP="00B5352E">
            <w:pPr>
              <w:rPr>
                <w:rFonts w:cs="Arial"/>
                <w:sz w:val="20"/>
                <w:szCs w:val="20"/>
                <w:lang w:val="en-GB"/>
              </w:rPr>
            </w:pPr>
          </w:p>
        </w:tc>
        <w:tc>
          <w:tcPr>
            <w:tcW w:w="1259" w:type="dxa"/>
          </w:tcPr>
          <w:p w:rsidR="007F2A42" w:rsidRPr="00EE01B4" w:rsidRDefault="007F2A42" w:rsidP="00B5352E">
            <w:pPr>
              <w:rPr>
                <w:rFonts w:cs="Arial"/>
                <w:sz w:val="20"/>
                <w:szCs w:val="20"/>
                <w:lang w:val="fr-FR"/>
              </w:rPr>
            </w:pPr>
            <w:r w:rsidRPr="00EE01B4">
              <w:rPr>
                <w:rFonts w:cs="Arial"/>
                <w:sz w:val="20"/>
                <w:szCs w:val="20"/>
                <w:lang w:val="fr-FR"/>
              </w:rPr>
              <w:t>E</w:t>
            </w:r>
          </w:p>
        </w:tc>
        <w:tc>
          <w:tcPr>
            <w:tcW w:w="5296" w:type="dxa"/>
          </w:tcPr>
          <w:p w:rsidR="007F2A42" w:rsidRPr="00EE01B4" w:rsidRDefault="007F2A42" w:rsidP="00B5352E">
            <w:pPr>
              <w:spacing w:after="40"/>
              <w:rPr>
                <w:sz w:val="20"/>
                <w:szCs w:val="20"/>
                <w:lang w:val="fr-FR"/>
              </w:rPr>
            </w:pPr>
            <w:r w:rsidRPr="00EE01B4">
              <w:rPr>
                <w:sz w:val="20"/>
                <w:szCs w:val="20"/>
                <w:lang w:val="fr-FR"/>
              </w:rPr>
              <w:t>NWF et NOAA</w:t>
            </w:r>
          </w:p>
          <w:p w:rsidR="007F2A42" w:rsidRPr="00D65BE9" w:rsidRDefault="007F2A42" w:rsidP="00656F56">
            <w:pPr>
              <w:spacing w:after="40"/>
              <w:rPr>
                <w:sz w:val="20"/>
                <w:szCs w:val="20"/>
                <w:lang w:val="fr-FR"/>
              </w:rPr>
            </w:pPr>
            <w:r w:rsidRPr="00EE01B4">
              <w:rPr>
                <w:rFonts w:cs="Arial"/>
                <w:sz w:val="20"/>
                <w:szCs w:val="20"/>
                <w:u w:val="single"/>
                <w:lang w:val="fr-FR"/>
              </w:rPr>
              <w:t>Résumé</w:t>
            </w:r>
            <w:r w:rsidRPr="00EE01B4">
              <w:rPr>
                <w:rFonts w:cs="Arial"/>
                <w:sz w:val="20"/>
                <w:szCs w:val="20"/>
                <w:lang w:val="fr-FR"/>
              </w:rPr>
              <w:t xml:space="preserve"> : Ce guide décrit une suite d’outils et de méthodes éprouvés pour aider à la planification et à l’application de la restauration côtière pour le climat par la NOAA, ses partenaires, et autres. Le guide se nourrit d’ateliers, de formations, de projets sur le terrain et autre participation des acteurs… </w:t>
            </w:r>
            <w:r w:rsidRPr="00EE01B4">
              <w:rPr>
                <w:sz w:val="20"/>
                <w:szCs w:val="20"/>
                <w:lang w:val="fr-FR"/>
              </w:rPr>
              <w:t>Bien qu’il ait été spécialement conçu pour la restauration dans les Grands Lacs en pensant au climat, les procédures générales devraient avoir une application plus vaste dans d’autres régions.</w:t>
            </w:r>
            <w:r w:rsidRPr="00D65BE9">
              <w:rPr>
                <w:sz w:val="20"/>
                <w:szCs w:val="20"/>
                <w:lang w:val="fr-FR"/>
              </w:rPr>
              <w:t xml:space="preserve"> </w:t>
            </w:r>
          </w:p>
        </w:tc>
      </w:tr>
    </w:tbl>
    <w:p w:rsidR="007C49C2" w:rsidRPr="00917315" w:rsidRDefault="007C49C2" w:rsidP="00B5352E">
      <w:pPr>
        <w:spacing w:after="0" w:line="240" w:lineRule="auto"/>
        <w:rPr>
          <w:rFonts w:cs="Arial"/>
          <w:lang w:val="fr-FR"/>
        </w:rPr>
      </w:pPr>
    </w:p>
    <w:sectPr w:rsidR="007C49C2" w:rsidRPr="00917315" w:rsidSect="008C4767">
      <w:footnotePr>
        <w:numRestart w:val="eachSect"/>
      </w:footnotePr>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A42" w:rsidRDefault="007F2A42" w:rsidP="009E1083">
      <w:pPr>
        <w:spacing w:after="0" w:line="240" w:lineRule="auto"/>
      </w:pPr>
      <w:r>
        <w:separator/>
      </w:r>
    </w:p>
  </w:endnote>
  <w:endnote w:type="continuationSeparator" w:id="0">
    <w:p w:rsidR="007F2A42" w:rsidRDefault="007F2A42" w:rsidP="009E1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040648"/>
      <w:docPartObj>
        <w:docPartGallery w:val="Page Numbers (Bottom of Page)"/>
        <w:docPartUnique/>
      </w:docPartObj>
    </w:sdtPr>
    <w:sdtEndPr>
      <w:rPr>
        <w:noProof/>
      </w:rPr>
    </w:sdtEndPr>
    <w:sdtContent>
      <w:p w:rsidR="007F2A42" w:rsidRDefault="007F2A42">
        <w:pPr>
          <w:pStyle w:val="Footer"/>
          <w:jc w:val="center"/>
        </w:pPr>
        <w:r>
          <w:fldChar w:fldCharType="begin"/>
        </w:r>
        <w:r>
          <w:instrText xml:space="preserve"> PAGE   \* MERGEFORMAT </w:instrText>
        </w:r>
        <w:r>
          <w:fldChar w:fldCharType="separate"/>
        </w:r>
        <w:r w:rsidR="00DF180B">
          <w:rPr>
            <w:noProof/>
          </w:rPr>
          <w:t>1</w:t>
        </w:r>
        <w:r>
          <w:rPr>
            <w:noProof/>
          </w:rPr>
          <w:fldChar w:fldCharType="end"/>
        </w:r>
      </w:p>
    </w:sdtContent>
  </w:sdt>
  <w:p w:rsidR="007F2A42" w:rsidRDefault="007F2A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A42" w:rsidRDefault="007F2A42" w:rsidP="009E1083">
      <w:pPr>
        <w:spacing w:after="0" w:line="240" w:lineRule="auto"/>
      </w:pPr>
      <w:r>
        <w:separator/>
      </w:r>
    </w:p>
  </w:footnote>
  <w:footnote w:type="continuationSeparator" w:id="0">
    <w:p w:rsidR="007F2A42" w:rsidRDefault="007F2A42" w:rsidP="009E1083">
      <w:pPr>
        <w:spacing w:after="0" w:line="240" w:lineRule="auto"/>
      </w:pPr>
      <w:r>
        <w:continuationSeparator/>
      </w:r>
    </w:p>
  </w:footnote>
  <w:footnote w:id="1">
    <w:p w:rsidR="007F2A42" w:rsidRPr="00087DD2" w:rsidRDefault="007F2A42" w:rsidP="009E1083">
      <w:pPr>
        <w:rPr>
          <w:sz w:val="20"/>
          <w:szCs w:val="20"/>
        </w:rPr>
      </w:pPr>
      <w:r w:rsidRPr="00087DD2">
        <w:rPr>
          <w:rStyle w:val="FootnoteReference"/>
          <w:sz w:val="20"/>
          <w:szCs w:val="20"/>
        </w:rPr>
        <w:footnoteRef/>
      </w:r>
      <w:r w:rsidRPr="00087DD2">
        <w:rPr>
          <w:sz w:val="20"/>
          <w:szCs w:val="20"/>
        </w:rPr>
        <w:t xml:space="preserve"> E = Anglais; F = Français; S = Espagnol; R = Russe; A = Arabe; C = Chinois; K = Coréen</w:t>
      </w:r>
    </w:p>
    <w:p w:rsidR="007F2A42" w:rsidRPr="00B735B7" w:rsidRDefault="007F2A42">
      <w:pPr>
        <w:pStyle w:val="FootnoteText"/>
      </w:pPr>
    </w:p>
  </w:footnote>
  <w:footnote w:id="2">
    <w:p w:rsidR="007F2A42" w:rsidRPr="00087DD2" w:rsidRDefault="007F2A42" w:rsidP="009E1083">
      <w:pPr>
        <w:rPr>
          <w:sz w:val="20"/>
          <w:szCs w:val="20"/>
        </w:rPr>
      </w:pPr>
      <w:r w:rsidRPr="00087DD2">
        <w:rPr>
          <w:rStyle w:val="FootnoteReference"/>
          <w:sz w:val="20"/>
          <w:szCs w:val="20"/>
        </w:rPr>
        <w:footnoteRef/>
      </w:r>
      <w:r w:rsidRPr="00087DD2">
        <w:rPr>
          <w:sz w:val="20"/>
          <w:szCs w:val="20"/>
        </w:rPr>
        <w:t xml:space="preserve"> E = Anglais; F = Français; S = Espagnol; R = Russe; A = Arabe; C = Chinois; K = Coréen</w:t>
      </w:r>
      <w:r w:rsidR="00E26A7E" w:rsidRPr="00087DD2">
        <w:rPr>
          <w:sz w:val="20"/>
          <w:szCs w:val="20"/>
        </w:rPr>
        <w:t>; KM= khmer, ID= indonésien, LO: lao, MY= birman, NE= népalais</w:t>
      </w:r>
    </w:p>
    <w:p w:rsidR="007F2A42" w:rsidRPr="00B735B7" w:rsidRDefault="007F2A42" w:rsidP="009E1083">
      <w:pPr>
        <w:pStyle w:val="FootnoteText"/>
      </w:pPr>
    </w:p>
  </w:footnote>
  <w:footnote w:id="3">
    <w:p w:rsidR="007F2A42" w:rsidRPr="00321FC3" w:rsidRDefault="007F2A42" w:rsidP="004D1A4F">
      <w:pPr>
        <w:rPr>
          <w:sz w:val="20"/>
          <w:szCs w:val="20"/>
        </w:rPr>
      </w:pPr>
      <w:r w:rsidRPr="00321FC3">
        <w:rPr>
          <w:rStyle w:val="FootnoteReference"/>
          <w:sz w:val="20"/>
          <w:szCs w:val="20"/>
        </w:rPr>
        <w:footnoteRef/>
      </w:r>
      <w:r w:rsidRPr="00321FC3">
        <w:rPr>
          <w:sz w:val="20"/>
          <w:szCs w:val="20"/>
        </w:rPr>
        <w:t xml:space="preserve"> E = Anglais; F = Français; S = Espagnol; R = Russe; A = Arabe; C = Chinois; K = Coréen</w:t>
      </w:r>
    </w:p>
  </w:footnote>
  <w:footnote w:id="4">
    <w:p w:rsidR="007F2A42" w:rsidRPr="00321FC3" w:rsidRDefault="007F2A42" w:rsidP="008B31F7">
      <w:pPr>
        <w:rPr>
          <w:sz w:val="20"/>
          <w:szCs w:val="20"/>
        </w:rPr>
      </w:pPr>
      <w:r w:rsidRPr="00321FC3">
        <w:rPr>
          <w:rStyle w:val="FootnoteReference"/>
          <w:sz w:val="20"/>
          <w:szCs w:val="20"/>
        </w:rPr>
        <w:footnoteRef/>
      </w:r>
      <w:r w:rsidRPr="00321FC3">
        <w:rPr>
          <w:sz w:val="20"/>
          <w:szCs w:val="20"/>
        </w:rPr>
        <w:t xml:space="preserve"> E = Anglais; F = Français; S = Espagnol; R = Russe; A = Arabe; C = Chinois; K = Coréen</w:t>
      </w:r>
    </w:p>
    <w:p w:rsidR="007F2A42" w:rsidRDefault="007F2A42" w:rsidP="008B31F7">
      <w:pPr>
        <w:pStyle w:val="FootnoteText"/>
      </w:pPr>
    </w:p>
  </w:footnote>
  <w:footnote w:id="5">
    <w:p w:rsidR="007F2A42" w:rsidRPr="00321FC3" w:rsidRDefault="007F2A42" w:rsidP="007C49C2">
      <w:pPr>
        <w:rPr>
          <w:sz w:val="20"/>
          <w:szCs w:val="20"/>
        </w:rPr>
      </w:pPr>
      <w:r w:rsidRPr="00321FC3">
        <w:rPr>
          <w:rStyle w:val="FootnoteReference"/>
          <w:sz w:val="20"/>
          <w:szCs w:val="20"/>
        </w:rPr>
        <w:footnoteRef/>
      </w:r>
      <w:r w:rsidRPr="00321FC3">
        <w:rPr>
          <w:sz w:val="20"/>
          <w:szCs w:val="20"/>
        </w:rPr>
        <w:t xml:space="preserve"> E = Anglais; F = Français; S = Espagnol; R = Russe; A = Arabe; C = Chinois; K = Coréen</w:t>
      </w:r>
    </w:p>
    <w:p w:rsidR="007F2A42" w:rsidRDefault="007F2A42" w:rsidP="007C49C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A42" w:rsidRPr="003207C6" w:rsidRDefault="007F2A42" w:rsidP="0045082D">
    <w:pPr>
      <w:spacing w:after="0" w:line="240" w:lineRule="auto"/>
      <w:jc w:val="right"/>
      <w:rPr>
        <w:rFonts w:ascii="Calibri" w:hAnsi="Calibri" w:cs="Arial"/>
        <w:b/>
        <w:sz w:val="18"/>
        <w:szCs w:val="18"/>
      </w:rPr>
    </w:pPr>
    <w:r w:rsidRPr="003207C6">
      <w:rPr>
        <w:rFonts w:ascii="Calibri" w:hAnsi="Calibri" w:cs="Arial"/>
        <w:b/>
        <w:sz w:val="18"/>
        <w:szCs w:val="18"/>
      </w:rPr>
      <w:t xml:space="preserve">Page </w:t>
    </w:r>
    <w:r w:rsidRPr="003207C6">
      <w:rPr>
        <w:rFonts w:ascii="Calibri" w:hAnsi="Calibri" w:cs="Arial"/>
        <w:b/>
        <w:sz w:val="18"/>
        <w:szCs w:val="18"/>
      </w:rPr>
      <w:fldChar w:fldCharType="begin"/>
    </w:r>
    <w:r w:rsidRPr="003207C6">
      <w:rPr>
        <w:rFonts w:ascii="Calibri" w:hAnsi="Calibri" w:cs="Arial"/>
        <w:b/>
        <w:sz w:val="18"/>
        <w:szCs w:val="18"/>
      </w:rPr>
      <w:instrText xml:space="preserve"> PAGE   \* MERGEFORMAT </w:instrText>
    </w:r>
    <w:r w:rsidRPr="003207C6">
      <w:rPr>
        <w:rFonts w:ascii="Calibri" w:hAnsi="Calibri" w:cs="Arial"/>
        <w:b/>
        <w:sz w:val="18"/>
        <w:szCs w:val="18"/>
      </w:rPr>
      <w:fldChar w:fldCharType="separate"/>
    </w:r>
    <w:r w:rsidR="00DF180B">
      <w:rPr>
        <w:rFonts w:ascii="Calibri" w:hAnsi="Calibri" w:cs="Arial"/>
        <w:b/>
        <w:noProof/>
        <w:sz w:val="18"/>
        <w:szCs w:val="18"/>
      </w:rPr>
      <w:t>1</w:t>
    </w:r>
    <w:r w:rsidRPr="003207C6">
      <w:rPr>
        <w:rFonts w:ascii="Calibri" w:hAnsi="Calibri" w:cs="Arial"/>
        <w:b/>
        <w:noProof/>
        <w:sz w:val="18"/>
        <w:szCs w:val="18"/>
      </w:rPr>
      <w:fldChar w:fldCharType="end"/>
    </w:r>
    <w:r w:rsidRPr="003207C6">
      <w:rPr>
        <w:rFonts w:ascii="Calibri" w:hAnsi="Calibri" w:cs="Arial"/>
        <w:b/>
        <w:sz w:val="18"/>
        <w:szCs w:val="18"/>
      </w:rPr>
      <w:t xml:space="preserve">  </w:t>
    </w:r>
  </w:p>
  <w:p w:rsidR="007F2A42" w:rsidRDefault="007F2A42" w:rsidP="0045082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hyphenationZone w:val="425"/>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D49"/>
    <w:rsid w:val="00001AED"/>
    <w:rsid w:val="000238D0"/>
    <w:rsid w:val="00030C08"/>
    <w:rsid w:val="00032BAF"/>
    <w:rsid w:val="0005358A"/>
    <w:rsid w:val="00056AD3"/>
    <w:rsid w:val="00063307"/>
    <w:rsid w:val="000656ED"/>
    <w:rsid w:val="000766CE"/>
    <w:rsid w:val="00087DD2"/>
    <w:rsid w:val="000A2276"/>
    <w:rsid w:val="000B72C5"/>
    <w:rsid w:val="000C00C4"/>
    <w:rsid w:val="000C1CC0"/>
    <w:rsid w:val="000C6B00"/>
    <w:rsid w:val="000C6E14"/>
    <w:rsid w:val="000D0CBE"/>
    <w:rsid w:val="000D3326"/>
    <w:rsid w:val="00110B92"/>
    <w:rsid w:val="00112615"/>
    <w:rsid w:val="00113533"/>
    <w:rsid w:val="0011490F"/>
    <w:rsid w:val="0012096C"/>
    <w:rsid w:val="001215EF"/>
    <w:rsid w:val="00125A83"/>
    <w:rsid w:val="00130D84"/>
    <w:rsid w:val="00136AB4"/>
    <w:rsid w:val="00144FA2"/>
    <w:rsid w:val="00146D50"/>
    <w:rsid w:val="001513AF"/>
    <w:rsid w:val="00155E33"/>
    <w:rsid w:val="001579FA"/>
    <w:rsid w:val="001660F3"/>
    <w:rsid w:val="00184AA9"/>
    <w:rsid w:val="001A0370"/>
    <w:rsid w:val="001B2DCD"/>
    <w:rsid w:val="001B6904"/>
    <w:rsid w:val="001E267A"/>
    <w:rsid w:val="001E3D35"/>
    <w:rsid w:val="001E479A"/>
    <w:rsid w:val="001F31C7"/>
    <w:rsid w:val="001F7B58"/>
    <w:rsid w:val="002123BA"/>
    <w:rsid w:val="00215626"/>
    <w:rsid w:val="00220111"/>
    <w:rsid w:val="00221134"/>
    <w:rsid w:val="00224F8A"/>
    <w:rsid w:val="002334BA"/>
    <w:rsid w:val="00234257"/>
    <w:rsid w:val="002349FB"/>
    <w:rsid w:val="00236319"/>
    <w:rsid w:val="00242DE1"/>
    <w:rsid w:val="002442AD"/>
    <w:rsid w:val="0024512A"/>
    <w:rsid w:val="00250420"/>
    <w:rsid w:val="0025591A"/>
    <w:rsid w:val="00263CF9"/>
    <w:rsid w:val="002678AB"/>
    <w:rsid w:val="0029147F"/>
    <w:rsid w:val="002927AC"/>
    <w:rsid w:val="00295556"/>
    <w:rsid w:val="002A2C58"/>
    <w:rsid w:val="002A61FB"/>
    <w:rsid w:val="002C7DCC"/>
    <w:rsid w:val="002D1110"/>
    <w:rsid w:val="002D3D8F"/>
    <w:rsid w:val="002E21D4"/>
    <w:rsid w:val="002E2BFF"/>
    <w:rsid w:val="002F6BDB"/>
    <w:rsid w:val="00300F36"/>
    <w:rsid w:val="003010D6"/>
    <w:rsid w:val="00301AD2"/>
    <w:rsid w:val="00302D45"/>
    <w:rsid w:val="00306EE2"/>
    <w:rsid w:val="003166CC"/>
    <w:rsid w:val="003207C6"/>
    <w:rsid w:val="00321FC3"/>
    <w:rsid w:val="003420B5"/>
    <w:rsid w:val="003469D0"/>
    <w:rsid w:val="003552C5"/>
    <w:rsid w:val="0035625A"/>
    <w:rsid w:val="00357239"/>
    <w:rsid w:val="00370912"/>
    <w:rsid w:val="00370CAA"/>
    <w:rsid w:val="003801E9"/>
    <w:rsid w:val="00384E2D"/>
    <w:rsid w:val="00390032"/>
    <w:rsid w:val="003935E6"/>
    <w:rsid w:val="00394BCB"/>
    <w:rsid w:val="0039765E"/>
    <w:rsid w:val="003A38FD"/>
    <w:rsid w:val="003B012C"/>
    <w:rsid w:val="003B2A57"/>
    <w:rsid w:val="003C09D0"/>
    <w:rsid w:val="003D79F9"/>
    <w:rsid w:val="003E2936"/>
    <w:rsid w:val="003E4AD2"/>
    <w:rsid w:val="003F7859"/>
    <w:rsid w:val="00400913"/>
    <w:rsid w:val="004125FC"/>
    <w:rsid w:val="0041303D"/>
    <w:rsid w:val="00416978"/>
    <w:rsid w:val="004316ED"/>
    <w:rsid w:val="0044017A"/>
    <w:rsid w:val="004427FA"/>
    <w:rsid w:val="0044386B"/>
    <w:rsid w:val="0045082D"/>
    <w:rsid w:val="00452D25"/>
    <w:rsid w:val="004728C4"/>
    <w:rsid w:val="00475AA4"/>
    <w:rsid w:val="00493C38"/>
    <w:rsid w:val="004C6C34"/>
    <w:rsid w:val="004D1A4F"/>
    <w:rsid w:val="004E0624"/>
    <w:rsid w:val="004E3F79"/>
    <w:rsid w:val="004E4484"/>
    <w:rsid w:val="005073C8"/>
    <w:rsid w:val="00526A8B"/>
    <w:rsid w:val="00527783"/>
    <w:rsid w:val="00537852"/>
    <w:rsid w:val="005550AC"/>
    <w:rsid w:val="00557A68"/>
    <w:rsid w:val="00577D1C"/>
    <w:rsid w:val="00585292"/>
    <w:rsid w:val="00586B39"/>
    <w:rsid w:val="005B2BD3"/>
    <w:rsid w:val="005B4DE5"/>
    <w:rsid w:val="005C1E37"/>
    <w:rsid w:val="005D4B91"/>
    <w:rsid w:val="005D6307"/>
    <w:rsid w:val="005D794F"/>
    <w:rsid w:val="005E2680"/>
    <w:rsid w:val="005E644F"/>
    <w:rsid w:val="005F520D"/>
    <w:rsid w:val="006003FB"/>
    <w:rsid w:val="00604322"/>
    <w:rsid w:val="00607A9A"/>
    <w:rsid w:val="006147DB"/>
    <w:rsid w:val="00615F66"/>
    <w:rsid w:val="006268EE"/>
    <w:rsid w:val="00630789"/>
    <w:rsid w:val="00637B02"/>
    <w:rsid w:val="006450F2"/>
    <w:rsid w:val="00647342"/>
    <w:rsid w:val="00656F56"/>
    <w:rsid w:val="00665782"/>
    <w:rsid w:val="00682401"/>
    <w:rsid w:val="00684D49"/>
    <w:rsid w:val="00684DBB"/>
    <w:rsid w:val="006853E5"/>
    <w:rsid w:val="006B1CA6"/>
    <w:rsid w:val="006C2822"/>
    <w:rsid w:val="006E3E38"/>
    <w:rsid w:val="006F2361"/>
    <w:rsid w:val="007016C5"/>
    <w:rsid w:val="00705AF2"/>
    <w:rsid w:val="00705C28"/>
    <w:rsid w:val="007073FA"/>
    <w:rsid w:val="00712CB9"/>
    <w:rsid w:val="007150EF"/>
    <w:rsid w:val="00715C48"/>
    <w:rsid w:val="00721586"/>
    <w:rsid w:val="007223F8"/>
    <w:rsid w:val="007254E6"/>
    <w:rsid w:val="00730F0E"/>
    <w:rsid w:val="007337D3"/>
    <w:rsid w:val="0073584B"/>
    <w:rsid w:val="00745033"/>
    <w:rsid w:val="0075151C"/>
    <w:rsid w:val="00752283"/>
    <w:rsid w:val="00755A2B"/>
    <w:rsid w:val="0076403B"/>
    <w:rsid w:val="00776522"/>
    <w:rsid w:val="00795DBC"/>
    <w:rsid w:val="007A1B46"/>
    <w:rsid w:val="007B08DE"/>
    <w:rsid w:val="007B22A2"/>
    <w:rsid w:val="007B2BC3"/>
    <w:rsid w:val="007C0220"/>
    <w:rsid w:val="007C49C2"/>
    <w:rsid w:val="007D04BF"/>
    <w:rsid w:val="007D1DAD"/>
    <w:rsid w:val="007E028F"/>
    <w:rsid w:val="007E0B31"/>
    <w:rsid w:val="007E1EC5"/>
    <w:rsid w:val="007E364D"/>
    <w:rsid w:val="007E54C3"/>
    <w:rsid w:val="007F2A42"/>
    <w:rsid w:val="007F7A2F"/>
    <w:rsid w:val="00810B8E"/>
    <w:rsid w:val="00813EA9"/>
    <w:rsid w:val="00816CA5"/>
    <w:rsid w:val="00820A01"/>
    <w:rsid w:val="00834559"/>
    <w:rsid w:val="00835024"/>
    <w:rsid w:val="00846D11"/>
    <w:rsid w:val="00852AC8"/>
    <w:rsid w:val="00866123"/>
    <w:rsid w:val="00875671"/>
    <w:rsid w:val="008763FD"/>
    <w:rsid w:val="00894318"/>
    <w:rsid w:val="008B31F7"/>
    <w:rsid w:val="008C3B33"/>
    <w:rsid w:val="008C4767"/>
    <w:rsid w:val="008E0B68"/>
    <w:rsid w:val="008E750B"/>
    <w:rsid w:val="008F280C"/>
    <w:rsid w:val="009125DB"/>
    <w:rsid w:val="00917315"/>
    <w:rsid w:val="00945769"/>
    <w:rsid w:val="0095101B"/>
    <w:rsid w:val="00951335"/>
    <w:rsid w:val="00952D0B"/>
    <w:rsid w:val="00963668"/>
    <w:rsid w:val="00974454"/>
    <w:rsid w:val="00975344"/>
    <w:rsid w:val="00985F9A"/>
    <w:rsid w:val="00990034"/>
    <w:rsid w:val="009A09EB"/>
    <w:rsid w:val="009A2865"/>
    <w:rsid w:val="009A74EB"/>
    <w:rsid w:val="009C1AED"/>
    <w:rsid w:val="009C5F5D"/>
    <w:rsid w:val="009C6D87"/>
    <w:rsid w:val="009D3B00"/>
    <w:rsid w:val="009D5168"/>
    <w:rsid w:val="009D62D8"/>
    <w:rsid w:val="009E1083"/>
    <w:rsid w:val="009E2D28"/>
    <w:rsid w:val="00A02F5E"/>
    <w:rsid w:val="00A07A1D"/>
    <w:rsid w:val="00A11805"/>
    <w:rsid w:val="00A13EAD"/>
    <w:rsid w:val="00A5232A"/>
    <w:rsid w:val="00A648BF"/>
    <w:rsid w:val="00A7029F"/>
    <w:rsid w:val="00A83B62"/>
    <w:rsid w:val="00A97B2B"/>
    <w:rsid w:val="00AC077F"/>
    <w:rsid w:val="00AC18C7"/>
    <w:rsid w:val="00AD35FB"/>
    <w:rsid w:val="00AD606E"/>
    <w:rsid w:val="00AE1F34"/>
    <w:rsid w:val="00B14B2F"/>
    <w:rsid w:val="00B26B56"/>
    <w:rsid w:val="00B3163A"/>
    <w:rsid w:val="00B46AE2"/>
    <w:rsid w:val="00B52909"/>
    <w:rsid w:val="00B5352E"/>
    <w:rsid w:val="00B53874"/>
    <w:rsid w:val="00B5660B"/>
    <w:rsid w:val="00B67CE7"/>
    <w:rsid w:val="00B71FE6"/>
    <w:rsid w:val="00B72520"/>
    <w:rsid w:val="00B735B7"/>
    <w:rsid w:val="00B777F3"/>
    <w:rsid w:val="00B81367"/>
    <w:rsid w:val="00B96104"/>
    <w:rsid w:val="00BA79C2"/>
    <w:rsid w:val="00BB04E7"/>
    <w:rsid w:val="00BB6B79"/>
    <w:rsid w:val="00BC0365"/>
    <w:rsid w:val="00BC367E"/>
    <w:rsid w:val="00BC6B34"/>
    <w:rsid w:val="00BD2343"/>
    <w:rsid w:val="00BD7123"/>
    <w:rsid w:val="00BF060E"/>
    <w:rsid w:val="00C007ED"/>
    <w:rsid w:val="00C03884"/>
    <w:rsid w:val="00C03CF3"/>
    <w:rsid w:val="00C04979"/>
    <w:rsid w:val="00C34F34"/>
    <w:rsid w:val="00C70EF5"/>
    <w:rsid w:val="00C755BE"/>
    <w:rsid w:val="00C930BD"/>
    <w:rsid w:val="00CB6D0E"/>
    <w:rsid w:val="00CC0497"/>
    <w:rsid w:val="00CC4F6A"/>
    <w:rsid w:val="00CE111E"/>
    <w:rsid w:val="00CE2B50"/>
    <w:rsid w:val="00CE3FC8"/>
    <w:rsid w:val="00CF0A9D"/>
    <w:rsid w:val="00CF4870"/>
    <w:rsid w:val="00D232FF"/>
    <w:rsid w:val="00D3456C"/>
    <w:rsid w:val="00D45DDB"/>
    <w:rsid w:val="00D65BE9"/>
    <w:rsid w:val="00D71313"/>
    <w:rsid w:val="00D75FFF"/>
    <w:rsid w:val="00D9448C"/>
    <w:rsid w:val="00DB0A13"/>
    <w:rsid w:val="00DC0C4F"/>
    <w:rsid w:val="00DC32FC"/>
    <w:rsid w:val="00DD22B1"/>
    <w:rsid w:val="00DE1498"/>
    <w:rsid w:val="00DE7DE6"/>
    <w:rsid w:val="00DF180B"/>
    <w:rsid w:val="00E05AEB"/>
    <w:rsid w:val="00E074F8"/>
    <w:rsid w:val="00E11B00"/>
    <w:rsid w:val="00E26A7E"/>
    <w:rsid w:val="00E35FB9"/>
    <w:rsid w:val="00E3618F"/>
    <w:rsid w:val="00E4321E"/>
    <w:rsid w:val="00E4669D"/>
    <w:rsid w:val="00E50363"/>
    <w:rsid w:val="00E5344A"/>
    <w:rsid w:val="00E540AE"/>
    <w:rsid w:val="00E60879"/>
    <w:rsid w:val="00E74CB7"/>
    <w:rsid w:val="00E771F3"/>
    <w:rsid w:val="00E9310C"/>
    <w:rsid w:val="00E96D08"/>
    <w:rsid w:val="00EA7755"/>
    <w:rsid w:val="00EC0FB2"/>
    <w:rsid w:val="00ED0C99"/>
    <w:rsid w:val="00ED44C8"/>
    <w:rsid w:val="00EE01B4"/>
    <w:rsid w:val="00EF194F"/>
    <w:rsid w:val="00F214CD"/>
    <w:rsid w:val="00F27208"/>
    <w:rsid w:val="00F33695"/>
    <w:rsid w:val="00F36794"/>
    <w:rsid w:val="00F52BA8"/>
    <w:rsid w:val="00F52E97"/>
    <w:rsid w:val="00F60AA5"/>
    <w:rsid w:val="00F67B0B"/>
    <w:rsid w:val="00F73E35"/>
    <w:rsid w:val="00F90756"/>
    <w:rsid w:val="00FA2ECA"/>
    <w:rsid w:val="00FB77AF"/>
    <w:rsid w:val="00FB7D1C"/>
    <w:rsid w:val="00FC2C07"/>
    <w:rsid w:val="00FE12F4"/>
    <w:rsid w:val="00FF0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029F"/>
    <w:rPr>
      <w:color w:val="0000FF" w:themeColor="hyperlink"/>
      <w:u w:val="single"/>
    </w:rPr>
  </w:style>
  <w:style w:type="paragraph" w:styleId="FootnoteText">
    <w:name w:val="footnote text"/>
    <w:basedOn w:val="Normal"/>
    <w:link w:val="FootnoteTextChar"/>
    <w:uiPriority w:val="99"/>
    <w:semiHidden/>
    <w:unhideWhenUsed/>
    <w:rsid w:val="009E10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1083"/>
    <w:rPr>
      <w:sz w:val="20"/>
      <w:szCs w:val="20"/>
    </w:rPr>
  </w:style>
  <w:style w:type="character" w:styleId="FootnoteReference">
    <w:name w:val="footnote reference"/>
    <w:basedOn w:val="DefaultParagraphFont"/>
    <w:uiPriority w:val="99"/>
    <w:semiHidden/>
    <w:unhideWhenUsed/>
    <w:rsid w:val="009E1083"/>
    <w:rPr>
      <w:vertAlign w:val="superscript"/>
    </w:rPr>
  </w:style>
  <w:style w:type="paragraph" w:styleId="BalloonText">
    <w:name w:val="Balloon Text"/>
    <w:basedOn w:val="Normal"/>
    <w:link w:val="BalloonTextChar"/>
    <w:uiPriority w:val="99"/>
    <w:semiHidden/>
    <w:unhideWhenUsed/>
    <w:rsid w:val="004E4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484"/>
    <w:rPr>
      <w:rFonts w:ascii="Tahoma" w:hAnsi="Tahoma" w:cs="Tahoma"/>
      <w:sz w:val="16"/>
      <w:szCs w:val="16"/>
    </w:rPr>
  </w:style>
  <w:style w:type="paragraph" w:styleId="Header">
    <w:name w:val="header"/>
    <w:basedOn w:val="Normal"/>
    <w:link w:val="HeaderChar"/>
    <w:uiPriority w:val="99"/>
    <w:unhideWhenUsed/>
    <w:rsid w:val="00604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322"/>
  </w:style>
  <w:style w:type="paragraph" w:styleId="Footer">
    <w:name w:val="footer"/>
    <w:basedOn w:val="Normal"/>
    <w:link w:val="FooterChar"/>
    <w:uiPriority w:val="99"/>
    <w:unhideWhenUsed/>
    <w:rsid w:val="00604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322"/>
  </w:style>
  <w:style w:type="character" w:styleId="FollowedHyperlink">
    <w:name w:val="FollowedHyperlink"/>
    <w:basedOn w:val="DefaultParagraphFont"/>
    <w:uiPriority w:val="99"/>
    <w:semiHidden/>
    <w:unhideWhenUsed/>
    <w:rsid w:val="00604322"/>
    <w:rPr>
      <w:color w:val="800080" w:themeColor="followedHyperlink"/>
      <w:u w:val="single"/>
    </w:rPr>
  </w:style>
  <w:style w:type="character" w:styleId="CommentReference">
    <w:name w:val="annotation reference"/>
    <w:basedOn w:val="DefaultParagraphFont"/>
    <w:uiPriority w:val="99"/>
    <w:semiHidden/>
    <w:unhideWhenUsed/>
    <w:rsid w:val="00E540AE"/>
    <w:rPr>
      <w:sz w:val="16"/>
      <w:szCs w:val="16"/>
    </w:rPr>
  </w:style>
  <w:style w:type="paragraph" w:styleId="CommentText">
    <w:name w:val="annotation text"/>
    <w:basedOn w:val="Normal"/>
    <w:link w:val="CommentTextChar"/>
    <w:uiPriority w:val="99"/>
    <w:semiHidden/>
    <w:unhideWhenUsed/>
    <w:rsid w:val="00E540AE"/>
    <w:pPr>
      <w:spacing w:line="240" w:lineRule="auto"/>
    </w:pPr>
    <w:rPr>
      <w:sz w:val="20"/>
      <w:szCs w:val="20"/>
    </w:rPr>
  </w:style>
  <w:style w:type="character" w:customStyle="1" w:styleId="CommentTextChar">
    <w:name w:val="Comment Text Char"/>
    <w:basedOn w:val="DefaultParagraphFont"/>
    <w:link w:val="CommentText"/>
    <w:uiPriority w:val="99"/>
    <w:semiHidden/>
    <w:rsid w:val="00E540AE"/>
    <w:rPr>
      <w:sz w:val="20"/>
      <w:szCs w:val="20"/>
    </w:rPr>
  </w:style>
  <w:style w:type="paragraph" w:styleId="CommentSubject">
    <w:name w:val="annotation subject"/>
    <w:basedOn w:val="CommentText"/>
    <w:next w:val="CommentText"/>
    <w:link w:val="CommentSubjectChar"/>
    <w:uiPriority w:val="99"/>
    <w:semiHidden/>
    <w:unhideWhenUsed/>
    <w:rsid w:val="00E540AE"/>
    <w:rPr>
      <w:b/>
      <w:bCs/>
    </w:rPr>
  </w:style>
  <w:style w:type="character" w:customStyle="1" w:styleId="CommentSubjectChar">
    <w:name w:val="Comment Subject Char"/>
    <w:basedOn w:val="CommentTextChar"/>
    <w:link w:val="CommentSubject"/>
    <w:uiPriority w:val="99"/>
    <w:semiHidden/>
    <w:rsid w:val="00E540AE"/>
    <w:rPr>
      <w:b/>
      <w:bCs/>
      <w:sz w:val="20"/>
      <w:szCs w:val="20"/>
    </w:rPr>
  </w:style>
  <w:style w:type="character" w:styleId="Strong">
    <w:name w:val="Strong"/>
    <w:basedOn w:val="DefaultParagraphFont"/>
    <w:uiPriority w:val="22"/>
    <w:qFormat/>
    <w:rsid w:val="00250420"/>
    <w:rPr>
      <w:b/>
      <w:bCs/>
    </w:rPr>
  </w:style>
  <w:style w:type="paragraph" w:customStyle="1" w:styleId="Default">
    <w:name w:val="Default"/>
    <w:rsid w:val="000C1CC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029F"/>
    <w:rPr>
      <w:color w:val="0000FF" w:themeColor="hyperlink"/>
      <w:u w:val="single"/>
    </w:rPr>
  </w:style>
  <w:style w:type="paragraph" w:styleId="FootnoteText">
    <w:name w:val="footnote text"/>
    <w:basedOn w:val="Normal"/>
    <w:link w:val="FootnoteTextChar"/>
    <w:uiPriority w:val="99"/>
    <w:semiHidden/>
    <w:unhideWhenUsed/>
    <w:rsid w:val="009E10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1083"/>
    <w:rPr>
      <w:sz w:val="20"/>
      <w:szCs w:val="20"/>
    </w:rPr>
  </w:style>
  <w:style w:type="character" w:styleId="FootnoteReference">
    <w:name w:val="footnote reference"/>
    <w:basedOn w:val="DefaultParagraphFont"/>
    <w:uiPriority w:val="99"/>
    <w:semiHidden/>
    <w:unhideWhenUsed/>
    <w:rsid w:val="009E1083"/>
    <w:rPr>
      <w:vertAlign w:val="superscript"/>
    </w:rPr>
  </w:style>
  <w:style w:type="paragraph" w:styleId="BalloonText">
    <w:name w:val="Balloon Text"/>
    <w:basedOn w:val="Normal"/>
    <w:link w:val="BalloonTextChar"/>
    <w:uiPriority w:val="99"/>
    <w:semiHidden/>
    <w:unhideWhenUsed/>
    <w:rsid w:val="004E4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484"/>
    <w:rPr>
      <w:rFonts w:ascii="Tahoma" w:hAnsi="Tahoma" w:cs="Tahoma"/>
      <w:sz w:val="16"/>
      <w:szCs w:val="16"/>
    </w:rPr>
  </w:style>
  <w:style w:type="paragraph" w:styleId="Header">
    <w:name w:val="header"/>
    <w:basedOn w:val="Normal"/>
    <w:link w:val="HeaderChar"/>
    <w:uiPriority w:val="99"/>
    <w:unhideWhenUsed/>
    <w:rsid w:val="00604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322"/>
  </w:style>
  <w:style w:type="paragraph" w:styleId="Footer">
    <w:name w:val="footer"/>
    <w:basedOn w:val="Normal"/>
    <w:link w:val="FooterChar"/>
    <w:uiPriority w:val="99"/>
    <w:unhideWhenUsed/>
    <w:rsid w:val="00604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322"/>
  </w:style>
  <w:style w:type="character" w:styleId="FollowedHyperlink">
    <w:name w:val="FollowedHyperlink"/>
    <w:basedOn w:val="DefaultParagraphFont"/>
    <w:uiPriority w:val="99"/>
    <w:semiHidden/>
    <w:unhideWhenUsed/>
    <w:rsid w:val="00604322"/>
    <w:rPr>
      <w:color w:val="800080" w:themeColor="followedHyperlink"/>
      <w:u w:val="single"/>
    </w:rPr>
  </w:style>
  <w:style w:type="character" w:styleId="CommentReference">
    <w:name w:val="annotation reference"/>
    <w:basedOn w:val="DefaultParagraphFont"/>
    <w:uiPriority w:val="99"/>
    <w:semiHidden/>
    <w:unhideWhenUsed/>
    <w:rsid w:val="00E540AE"/>
    <w:rPr>
      <w:sz w:val="16"/>
      <w:szCs w:val="16"/>
    </w:rPr>
  </w:style>
  <w:style w:type="paragraph" w:styleId="CommentText">
    <w:name w:val="annotation text"/>
    <w:basedOn w:val="Normal"/>
    <w:link w:val="CommentTextChar"/>
    <w:uiPriority w:val="99"/>
    <w:semiHidden/>
    <w:unhideWhenUsed/>
    <w:rsid w:val="00E540AE"/>
    <w:pPr>
      <w:spacing w:line="240" w:lineRule="auto"/>
    </w:pPr>
    <w:rPr>
      <w:sz w:val="20"/>
      <w:szCs w:val="20"/>
    </w:rPr>
  </w:style>
  <w:style w:type="character" w:customStyle="1" w:styleId="CommentTextChar">
    <w:name w:val="Comment Text Char"/>
    <w:basedOn w:val="DefaultParagraphFont"/>
    <w:link w:val="CommentText"/>
    <w:uiPriority w:val="99"/>
    <w:semiHidden/>
    <w:rsid w:val="00E540AE"/>
    <w:rPr>
      <w:sz w:val="20"/>
      <w:szCs w:val="20"/>
    </w:rPr>
  </w:style>
  <w:style w:type="paragraph" w:styleId="CommentSubject">
    <w:name w:val="annotation subject"/>
    <w:basedOn w:val="CommentText"/>
    <w:next w:val="CommentText"/>
    <w:link w:val="CommentSubjectChar"/>
    <w:uiPriority w:val="99"/>
    <w:semiHidden/>
    <w:unhideWhenUsed/>
    <w:rsid w:val="00E540AE"/>
    <w:rPr>
      <w:b/>
      <w:bCs/>
    </w:rPr>
  </w:style>
  <w:style w:type="character" w:customStyle="1" w:styleId="CommentSubjectChar">
    <w:name w:val="Comment Subject Char"/>
    <w:basedOn w:val="CommentTextChar"/>
    <w:link w:val="CommentSubject"/>
    <w:uiPriority w:val="99"/>
    <w:semiHidden/>
    <w:rsid w:val="00E540AE"/>
    <w:rPr>
      <w:b/>
      <w:bCs/>
      <w:sz w:val="20"/>
      <w:szCs w:val="20"/>
    </w:rPr>
  </w:style>
  <w:style w:type="character" w:styleId="Strong">
    <w:name w:val="Strong"/>
    <w:basedOn w:val="DefaultParagraphFont"/>
    <w:uiPriority w:val="22"/>
    <w:qFormat/>
    <w:rsid w:val="00250420"/>
    <w:rPr>
      <w:b/>
      <w:bCs/>
    </w:rPr>
  </w:style>
  <w:style w:type="paragraph" w:customStyle="1" w:styleId="Default">
    <w:name w:val="Default"/>
    <w:rsid w:val="000C1CC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509058">
      <w:bodyDiv w:val="1"/>
      <w:marLeft w:val="0"/>
      <w:marRight w:val="0"/>
      <w:marTop w:val="0"/>
      <w:marBottom w:val="0"/>
      <w:divBdr>
        <w:top w:val="none" w:sz="0" w:space="0" w:color="auto"/>
        <w:left w:val="none" w:sz="0" w:space="0" w:color="auto"/>
        <w:bottom w:val="none" w:sz="0" w:space="0" w:color="auto"/>
        <w:right w:val="none" w:sz="0" w:space="0" w:color="auto"/>
      </w:divBdr>
    </w:div>
    <w:div w:id="739789663">
      <w:bodyDiv w:val="1"/>
      <w:marLeft w:val="0"/>
      <w:marRight w:val="0"/>
      <w:marTop w:val="0"/>
      <w:marBottom w:val="0"/>
      <w:divBdr>
        <w:top w:val="none" w:sz="0" w:space="0" w:color="auto"/>
        <w:left w:val="none" w:sz="0" w:space="0" w:color="auto"/>
        <w:bottom w:val="none" w:sz="0" w:space="0" w:color="auto"/>
        <w:right w:val="none" w:sz="0" w:space="0" w:color="auto"/>
      </w:divBdr>
    </w:div>
    <w:div w:id="1454977907">
      <w:bodyDiv w:val="1"/>
      <w:marLeft w:val="0"/>
      <w:marRight w:val="0"/>
      <w:marTop w:val="0"/>
      <w:marBottom w:val="0"/>
      <w:divBdr>
        <w:top w:val="none" w:sz="0" w:space="0" w:color="auto"/>
        <w:left w:val="none" w:sz="0" w:space="0" w:color="auto"/>
        <w:bottom w:val="none" w:sz="0" w:space="0" w:color="auto"/>
        <w:right w:val="none" w:sz="0" w:space="0" w:color="auto"/>
      </w:divBdr>
    </w:div>
    <w:div w:id="1531340262">
      <w:bodyDiv w:val="1"/>
      <w:marLeft w:val="0"/>
      <w:marRight w:val="0"/>
      <w:marTop w:val="0"/>
      <w:marBottom w:val="0"/>
      <w:divBdr>
        <w:top w:val="none" w:sz="0" w:space="0" w:color="auto"/>
        <w:left w:val="none" w:sz="0" w:space="0" w:color="auto"/>
        <w:bottom w:val="none" w:sz="0" w:space="0" w:color="auto"/>
        <w:right w:val="none" w:sz="0" w:space="0" w:color="auto"/>
      </w:divBdr>
    </w:div>
    <w:div w:id="1743792467">
      <w:bodyDiv w:val="1"/>
      <w:marLeft w:val="0"/>
      <w:marRight w:val="0"/>
      <w:marTop w:val="0"/>
      <w:marBottom w:val="0"/>
      <w:divBdr>
        <w:top w:val="none" w:sz="0" w:space="0" w:color="auto"/>
        <w:left w:val="none" w:sz="0" w:space="0" w:color="auto"/>
        <w:bottom w:val="none" w:sz="0" w:space="0" w:color="auto"/>
        <w:right w:val="none" w:sz="0" w:space="0" w:color="auto"/>
      </w:divBdr>
    </w:div>
    <w:div w:id="199776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nvironment.gov.au/system/files/resources/fb918be6-fd56-43a5-9e61-f4e63d455e0c/files/review-ecosystem-services-report.pdf" TargetMode="External"/><Relationship Id="rId21" Type="http://schemas.openxmlformats.org/officeDocument/2006/relationships/hyperlink" Target="http://www.ramsar.org/sites/default/files/documents/pdf/lib/lib_rtr04.pdf" TargetMode="External"/><Relationship Id="rId42" Type="http://schemas.openxmlformats.org/officeDocument/2006/relationships/hyperlink" Target="http://www.ramsar.org/sites/default/files/documents/pdf/res/key_res_x_17_f.pdf" TargetMode="External"/><Relationship Id="rId63" Type="http://schemas.openxmlformats.org/officeDocument/2006/relationships/hyperlink" Target="http://www.ramsar.org/sites/default/files/documents/pdf/lib/rtr9-estuaries.pdf" TargetMode="External"/><Relationship Id="rId84" Type="http://schemas.openxmlformats.org/officeDocument/2006/relationships/hyperlink" Target="https://www.ramsar.org/document/ramsar-policy-brief-2-integrating-multiple-wetland-values-into-decision-making" TargetMode="External"/><Relationship Id="rId138" Type="http://schemas.openxmlformats.org/officeDocument/2006/relationships/hyperlink" Target="http://www.ramsar.org/sites/default/files/documents/library/key_res_vii.07f.pdf" TargetMode="External"/><Relationship Id="rId159" Type="http://schemas.openxmlformats.org/officeDocument/2006/relationships/hyperlink" Target="http://www.iwmi.cgiar.org/Publications/Books/PDF/wetlands-and-people.pdf" TargetMode="External"/><Relationship Id="rId170" Type="http://schemas.openxmlformats.org/officeDocument/2006/relationships/hyperlink" Target="http://www.oecd.org/env/resources/Biodiversity%20Offsets_Highlights_for%20COP12%20FINAL.pdf" TargetMode="External"/><Relationship Id="rId191" Type="http://schemas.openxmlformats.org/officeDocument/2006/relationships/hyperlink" Target="http://lac.wetlands.org/Portals/4/UNFCC%20COP20%20Lima/Wetlands%20carbon%20finance%20paper_Low%20%20res.pdf" TargetMode="External"/><Relationship Id="rId205" Type="http://schemas.openxmlformats.org/officeDocument/2006/relationships/fontTable" Target="fontTable.xml"/><Relationship Id="rId107" Type="http://schemas.openxmlformats.org/officeDocument/2006/relationships/hyperlink" Target="http://intranet.iucn.org/webfiles/doc/SpeciesProg/FBU/MtanzaMsona_IWA_TechnicalReport_lowres.pdf" TargetMode="External"/><Relationship Id="rId11" Type="http://schemas.openxmlformats.org/officeDocument/2006/relationships/hyperlink" Target="http://www.ramsar.org/sites/default/files/documents/library/key_res_x_15_f.pdf" TargetMode="External"/><Relationship Id="rId32" Type="http://schemas.openxmlformats.org/officeDocument/2006/relationships/hyperlink" Target="http://www.equilibriumresearch.com/upload/document/Revised_METT_final_downloadable_version.pdf" TargetMode="External"/><Relationship Id="rId53" Type="http://schemas.openxmlformats.org/officeDocument/2006/relationships/hyperlink" Target="http://www.ramsar.org/sites/default/files/documents/library/key_res_vii.08f.pdf" TargetMode="External"/><Relationship Id="rId74" Type="http://schemas.openxmlformats.org/officeDocument/2006/relationships/hyperlink" Target="https://portals.iucn.org/library/efiles/documents/2003-021-Fr.pdf" TargetMode="External"/><Relationship Id="rId128" Type="http://schemas.openxmlformats.org/officeDocument/2006/relationships/hyperlink" Target="http://www.ramsar.org/sites/default/files/documents/library/cop11-res09-f.pdf" TargetMode="External"/><Relationship Id="rId149" Type="http://schemas.openxmlformats.org/officeDocument/2006/relationships/hyperlink" Target="https://portals.iucn.org/library/node/46242" TargetMode="External"/><Relationship Id="rId5" Type="http://schemas.openxmlformats.org/officeDocument/2006/relationships/webSettings" Target="webSettings.xml"/><Relationship Id="rId95" Type="http://schemas.openxmlformats.org/officeDocument/2006/relationships/hyperlink" Target="https://www.ipbes.net/assessment-reports/scenarios" TargetMode="External"/><Relationship Id="rId160" Type="http://schemas.openxmlformats.org/officeDocument/2006/relationships/hyperlink" Target="http://www.iwmi.cgiar.org/Publications/IWMI_Research_Reports/PDF/PUB137/RR137.pdf" TargetMode="External"/><Relationship Id="rId181" Type="http://schemas.openxmlformats.org/officeDocument/2006/relationships/hyperlink" Target="http://www.ramsar.org/sites/default/files/documents/bn/bn5.pdf" TargetMode="External"/><Relationship Id="rId22" Type="http://schemas.openxmlformats.org/officeDocument/2006/relationships/hyperlink" Target="http://www.ramsar.org/sites/default/files/documents/library/rtr7-disease.pdf" TargetMode="External"/><Relationship Id="rId43" Type="http://schemas.openxmlformats.org/officeDocument/2006/relationships/hyperlink" Target="http://www.ramsar.org/sites/default/files/documents/library/key_res_x_19_f.pdf" TargetMode="External"/><Relationship Id="rId64" Type="http://schemas.openxmlformats.org/officeDocument/2006/relationships/hyperlink" Target="http://www.ramsar.org/sites/default/files/documents/pdf/res/key_res_ix_04_f.pdf" TargetMode="External"/><Relationship Id="rId118" Type="http://schemas.openxmlformats.org/officeDocument/2006/relationships/hyperlink" Target="http://www.fao.org/docrep/007/y5582e/y5582e00.htm" TargetMode="External"/><Relationship Id="rId139" Type="http://schemas.openxmlformats.org/officeDocument/2006/relationships/hyperlink" Target="http://www.ramsar.org/sites/default/files/documents/pdf/cop11/doc/cop11-doc28-e-energy.pdf" TargetMode="External"/><Relationship Id="rId85" Type="http://schemas.openxmlformats.org/officeDocument/2006/relationships/hyperlink" Target="http://www.ramsar.org/sites/default/files/documents/pdf/cop11/res/cop11-res13-f.pdf" TargetMode="External"/><Relationship Id="rId150" Type="http://schemas.openxmlformats.org/officeDocument/2006/relationships/hyperlink" Target="https://www.iucn.org/sites/dev/files/capacity_building_and_synergies_-_contribution_to_the_long-term_strategic_framework_for_capacity_building.pdf" TargetMode="External"/><Relationship Id="rId171" Type="http://schemas.openxmlformats.org/officeDocument/2006/relationships/hyperlink" Target="http://www.fao.org/3/a-i0314e.pdf" TargetMode="External"/><Relationship Id="rId192" Type="http://schemas.openxmlformats.org/officeDocument/2006/relationships/hyperlink" Target="https://portals.iucn.org/library/node/10224" TargetMode="External"/><Relationship Id="rId206" Type="http://schemas.openxmlformats.org/officeDocument/2006/relationships/theme" Target="theme/theme1.xml"/><Relationship Id="rId12" Type="http://schemas.openxmlformats.org/officeDocument/2006/relationships/hyperlink" Target="http://www.ramsar.org/sites/default/files/documents/library/key_res_x_16_f.pdf" TargetMode="External"/><Relationship Id="rId33" Type="http://schemas.openxmlformats.org/officeDocument/2006/relationships/hyperlink" Target="http://www.bipindicators.net/LinkClick.aspx?fileticket=63FJWAegJao%3d&amp;tabid=429" TargetMode="External"/><Relationship Id="rId108" Type="http://schemas.openxmlformats.org/officeDocument/2006/relationships/hyperlink" Target="https://cmsdata.iucn.org/downloads/brochure_sourou_corrige_09_08_2010.pdf" TargetMode="External"/><Relationship Id="rId129" Type="http://schemas.openxmlformats.org/officeDocument/2006/relationships/hyperlink" Target="http://www.ramsar.org/sites/default/files/documents/pdf/cop11/res/cop11-res10-f.pdf" TargetMode="External"/><Relationship Id="rId54" Type="http://schemas.openxmlformats.org/officeDocument/2006/relationships/hyperlink" Target="http://www.ramsar.org/sites/default/files/documents/library/key_res_vii.10f.pdf" TargetMode="External"/><Relationship Id="rId75" Type="http://schemas.openxmlformats.org/officeDocument/2006/relationships/hyperlink" Target="https://portals.iucn.org/library/node/8968" TargetMode="External"/><Relationship Id="rId96" Type="http://schemas.openxmlformats.org/officeDocument/2006/relationships/hyperlink" Target="https://www.ipbes.net/assessment-reports/africa" TargetMode="External"/><Relationship Id="rId140" Type="http://schemas.openxmlformats.org/officeDocument/2006/relationships/hyperlink" Target="http://www.ramsar.org/activity/ramsar-advisory-missions" TargetMode="External"/><Relationship Id="rId161" Type="http://schemas.openxmlformats.org/officeDocument/2006/relationships/hyperlink" Target="http://www.iwmi.cgiar.org/Publications/Water_Policy_Briefs/PDF/WPB30.pdf" TargetMode="External"/><Relationship Id="rId182" Type="http://schemas.openxmlformats.org/officeDocument/2006/relationships/hyperlink" Target="http://www.ramsar.org/sites/default/files/documents/pdf/lib/lib_rtr05.pdf" TargetMode="External"/><Relationship Id="rId6" Type="http://schemas.openxmlformats.org/officeDocument/2006/relationships/footnotes" Target="footnotes.xml"/><Relationship Id="rId23" Type="http://schemas.openxmlformats.org/officeDocument/2006/relationships/hyperlink" Target="https://portals.iucn.org/library/node/47982" TargetMode="External"/><Relationship Id="rId119" Type="http://schemas.openxmlformats.org/officeDocument/2006/relationships/hyperlink" Target="http://bestcat.org.s3.amazonaws.com/index.html" TargetMode="External"/><Relationship Id="rId44" Type="http://schemas.openxmlformats.org/officeDocument/2006/relationships/hyperlink" Target="http://www.ramsar.org/sites/default/files/documents/library/key_res_x_21_f.pdf" TargetMode="External"/><Relationship Id="rId65" Type="http://schemas.openxmlformats.org/officeDocument/2006/relationships/hyperlink" Target="https://www.ramsar.org/sites/default/files/documents/library/designation_management_ramsar_sites_e.pdf" TargetMode="External"/><Relationship Id="rId86" Type="http://schemas.openxmlformats.org/officeDocument/2006/relationships/hyperlink" Target="http://www.ramsar.org/sites/default/files/documents/library/key_res_viii_19_f.pdf" TargetMode="External"/><Relationship Id="rId130" Type="http://schemas.openxmlformats.org/officeDocument/2006/relationships/hyperlink" Target="http://www.ramsar.org/sites/default/files/documents/pdf/cop11/res/cop11-res11-f.pdf" TargetMode="External"/><Relationship Id="rId151" Type="http://schemas.openxmlformats.org/officeDocument/2006/relationships/hyperlink" Target="http://www.unwater.org/publications/world-water-development-report-2018/" TargetMode="External"/><Relationship Id="rId172" Type="http://schemas.openxmlformats.org/officeDocument/2006/relationships/hyperlink" Target="http://bestcat.org.s3.amazonaws.com/index.html" TargetMode="External"/><Relationship Id="rId193" Type="http://schemas.openxmlformats.org/officeDocument/2006/relationships/hyperlink" Target="https://portals.iucn.org/library/node/10103" TargetMode="External"/><Relationship Id="rId13" Type="http://schemas.openxmlformats.org/officeDocument/2006/relationships/hyperlink" Target="http://www.ramsar.org/sites/default/files/documents/library/key_res_x_21_f.pdf" TargetMode="External"/><Relationship Id="rId109" Type="http://schemas.openxmlformats.org/officeDocument/2006/relationships/hyperlink" Target="https://portals.iucn.org/library/node/9577" TargetMode="External"/><Relationship Id="rId34" Type="http://schemas.openxmlformats.org/officeDocument/2006/relationships/hyperlink" Target="https://www.ramsar.org/resources/ramsar-sites-management-toolkit" TargetMode="External"/><Relationship Id="rId55" Type="http://schemas.openxmlformats.org/officeDocument/2006/relationships/hyperlink" Target="http://www.ramsar.org/sites/default/files/documents/library/cop12_doc20_pame_f.pdf" TargetMode="External"/><Relationship Id="rId76" Type="http://schemas.openxmlformats.org/officeDocument/2006/relationships/hyperlink" Target="http://www.wetlands.org/Portals/0/South-Asia%20India/WM%20Guidelines%201_1.pdf" TargetMode="External"/><Relationship Id="rId97" Type="http://schemas.openxmlformats.org/officeDocument/2006/relationships/hyperlink" Target="https://www.ipbes.net/assessment-reports/americas" TargetMode="External"/><Relationship Id="rId120" Type="http://schemas.openxmlformats.org/officeDocument/2006/relationships/hyperlink" Target="http://www.sciencedirect.com/science/article/pii/S187734351400116X" TargetMode="External"/><Relationship Id="rId141" Type="http://schemas.openxmlformats.org/officeDocument/2006/relationships/hyperlink" Target="http://www.ramsar.org/sites/default/files/documents/library/bn6.pdf" TargetMode="External"/><Relationship Id="rId7" Type="http://schemas.openxmlformats.org/officeDocument/2006/relationships/endnotes" Target="endnotes.xml"/><Relationship Id="rId162" Type="http://schemas.openxmlformats.org/officeDocument/2006/relationships/hyperlink" Target="http://www.iwmi.cgiar.org/Publications/IWMI_Research_Reports/PDF/pub090/RR90.pdf" TargetMode="External"/><Relationship Id="rId183" Type="http://schemas.openxmlformats.org/officeDocument/2006/relationships/hyperlink" Target="https://www.ramsar.org/document/30-good-reasons-to-safeguard-peatlands-results-from-the-international-workshop-on-peatland" TargetMode="External"/><Relationship Id="rId24" Type="http://schemas.openxmlformats.org/officeDocument/2006/relationships/hyperlink" Target="http://www.birdlife.org/datazone/userfiles/file/IBAs/MonitoringPDFs/IBA_Monitoring_Framework.pdf" TargetMode="External"/><Relationship Id="rId40" Type="http://schemas.openxmlformats.org/officeDocument/2006/relationships/hyperlink" Target="http://www.ramsar.org/sites/default/files/documents/library/key_res_x_15_f.pdf" TargetMode="External"/><Relationship Id="rId45" Type="http://schemas.openxmlformats.org/officeDocument/2006/relationships/hyperlink" Target="http://www.ramsar.org/sites/default/files/documents/library/key_res_viii_01_f_0.pdf" TargetMode="External"/><Relationship Id="rId66" Type="http://schemas.openxmlformats.org/officeDocument/2006/relationships/hyperlink" Target="https://www.ramsar.org/document/guidance-rapid-cultural-inventories-for-wetlands" TargetMode="External"/><Relationship Id="rId87" Type="http://schemas.openxmlformats.org/officeDocument/2006/relationships/hyperlink" Target="http://www.ramsar.org/sites/default/files/documents/pdf/lib/lib_rtr03_f.pdf" TargetMode="External"/><Relationship Id="rId110" Type="http://schemas.openxmlformats.org/officeDocument/2006/relationships/hyperlink" Target="https://portals.iucn.org/library/sites/library/files/documents/Ramsar-021.pdf" TargetMode="External"/><Relationship Id="rId115" Type="http://schemas.openxmlformats.org/officeDocument/2006/relationships/hyperlink" Target="http://www.unep.org/pdf/Guidance_Manual_for_the_Regulating_Services.pdf" TargetMode="External"/><Relationship Id="rId131" Type="http://schemas.openxmlformats.org/officeDocument/2006/relationships/hyperlink" Target="http://www.ramsar.org/sites/default/files/documents/pdf/res/key_res_x_03_f.pdf" TargetMode="External"/><Relationship Id="rId136" Type="http://schemas.openxmlformats.org/officeDocument/2006/relationships/hyperlink" Target="http://www.ramsar.org/sites/default/files/documents/library/key_res_viii_04_f.pdf" TargetMode="External"/><Relationship Id="rId157" Type="http://schemas.openxmlformats.org/officeDocument/2006/relationships/hyperlink" Target="https://portals.iucn.org/library/node/8894" TargetMode="External"/><Relationship Id="rId178" Type="http://schemas.openxmlformats.org/officeDocument/2006/relationships/hyperlink" Target="https://www.ramsar.org/document/briefing-note-10-wetland-restoration-for-climate-change-resilience" TargetMode="External"/><Relationship Id="rId61" Type="http://schemas.openxmlformats.org/officeDocument/2006/relationships/hyperlink" Target="http://www.ramsar.org/sites/default/files/documents/library/bn6.pdf" TargetMode="External"/><Relationship Id="rId82" Type="http://schemas.openxmlformats.org/officeDocument/2006/relationships/hyperlink" Target="https://www.ramsar.org/document/resolution-xiii17-rapidly-assessing-wetland-ecosystem-services" TargetMode="External"/><Relationship Id="rId152" Type="http://schemas.openxmlformats.org/officeDocument/2006/relationships/hyperlink" Target="https://portals.iucn.org/library/node/45374" TargetMode="External"/><Relationship Id="rId173" Type="http://schemas.openxmlformats.org/officeDocument/2006/relationships/hyperlink" Target="http://www.iwmi.cgiar.org/Publications/IWMI_Research_Reports/PDF/pub153/rr153.pdf" TargetMode="External"/><Relationship Id="rId194" Type="http://schemas.openxmlformats.org/officeDocument/2006/relationships/hyperlink" Target="https://portals.iucn.org/library/node/45117" TargetMode="External"/><Relationship Id="rId199" Type="http://schemas.openxmlformats.org/officeDocument/2006/relationships/hyperlink" Target="http://www.wetlands.org/WatchRead/tabid/56/mod/1570/articleType/ArticleView/articleId/2029/Global-Peatland-Assessment.aspx" TargetMode="External"/><Relationship Id="rId203" Type="http://schemas.openxmlformats.org/officeDocument/2006/relationships/hyperlink" Target="http://www.norbalwet.org/assets/Documents/Project-documents/peat/PEATLANDS-AND-CLIMATE-IN-A-RAMSAR-CONTEXT-FULLTEXT02.pdf" TargetMode="External"/><Relationship Id="rId19" Type="http://schemas.openxmlformats.org/officeDocument/2006/relationships/hyperlink" Target="http://www.ramsar.org/sites/default/files/documents/pdf/sc/35/key_sc35_doc04.pdf" TargetMode="External"/><Relationship Id="rId14" Type="http://schemas.openxmlformats.org/officeDocument/2006/relationships/hyperlink" Target="http://www.ramsar.org/sites/default/files/documents/pdf/res/key_res_ix_01_annexe_f.pdf" TargetMode="External"/><Relationship Id="rId30" Type="http://schemas.openxmlformats.org/officeDocument/2006/relationships/hyperlink" Target="https://www.worldwildlife.org/pages/global-lakes-and-wetlands-database" TargetMode="External"/><Relationship Id="rId35" Type="http://schemas.openxmlformats.org/officeDocument/2006/relationships/hyperlink" Target="http://www.ramsar.org/sites/default/files/documents/pdf/cop11/res/cop11-res07-f.pdf" TargetMode="External"/><Relationship Id="rId56" Type="http://schemas.openxmlformats.org/officeDocument/2006/relationships/hyperlink" Target="http://www.ramsar.org/sites/default/files/documents/library/cop12_res15_management_effectiveness_f_0.pdf" TargetMode="External"/><Relationship Id="rId77" Type="http://schemas.openxmlformats.org/officeDocument/2006/relationships/hyperlink" Target="http://d2ouvy59p0dg6k.cloudfront.net/downloads/wetlands_management_guide_2008.pdf" TargetMode="External"/><Relationship Id="rId100" Type="http://schemas.openxmlformats.org/officeDocument/2006/relationships/hyperlink" Target="https://portals.iucn.org/library/sites/library/files/documents/2016-070.pdf" TargetMode="External"/><Relationship Id="rId105" Type="http://schemas.openxmlformats.org/officeDocument/2006/relationships/hyperlink" Target="http://wraptoolkit.ruc.dk/" TargetMode="External"/><Relationship Id="rId126" Type="http://schemas.openxmlformats.org/officeDocument/2006/relationships/hyperlink" Target="https://www.ramsar.org/document/ramsar-policy-brief-3-ramsar-advisory-missions-a-mechanism-to-respond-to-change-in" TargetMode="External"/><Relationship Id="rId147" Type="http://schemas.openxmlformats.org/officeDocument/2006/relationships/hyperlink" Target="https://portals.iucn.org/library/node/46598" TargetMode="External"/><Relationship Id="rId168" Type="http://schemas.openxmlformats.org/officeDocument/2006/relationships/hyperlink" Target="http://www.forest-trends.org/documents/files/doc_3101.pdf" TargetMode="External"/><Relationship Id="rId8" Type="http://schemas.openxmlformats.org/officeDocument/2006/relationships/hyperlink" Target="https://www.ramsar.org/document/ramsar-technical-report-10-the-use-of-earth-observation-for-wetland-inventory-assessment" TargetMode="External"/><Relationship Id="rId51" Type="http://schemas.openxmlformats.org/officeDocument/2006/relationships/hyperlink" Target="http://www.ramsar.org/sites/default/files/documents/library/key_res_viii_33_f.pdf" TargetMode="External"/><Relationship Id="rId72" Type="http://schemas.openxmlformats.org/officeDocument/2006/relationships/hyperlink" Target="https://portals.iucn.org/library/efiles/documents/2009-015.pdf" TargetMode="External"/><Relationship Id="rId93" Type="http://schemas.openxmlformats.org/officeDocument/2006/relationships/hyperlink" Target="https://www.ipbes.net/assessment-reports/ldr" TargetMode="External"/><Relationship Id="rId98" Type="http://schemas.openxmlformats.org/officeDocument/2006/relationships/hyperlink" Target="https://www.ipbes.net/assessment-reports/asia-pacific" TargetMode="External"/><Relationship Id="rId121" Type="http://schemas.openxmlformats.org/officeDocument/2006/relationships/hyperlink" Target="http://www.teebweb.org/our-publications/teeb-study-reports/ecological-and-economic-foundations/" TargetMode="External"/><Relationship Id="rId142" Type="http://schemas.openxmlformats.org/officeDocument/2006/relationships/hyperlink" Target="http://www.ramsar.org/sites/default/files/documents/pdf/lib/rtr9-estuaries.pdf" TargetMode="External"/><Relationship Id="rId163" Type="http://schemas.openxmlformats.org/officeDocument/2006/relationships/hyperlink" Target="http://www.wetlands.org/Portals/0/publications/Wetlands-practicalguidance.def.lowreswebversion.pdf" TargetMode="External"/><Relationship Id="rId184" Type="http://schemas.openxmlformats.org/officeDocument/2006/relationships/hyperlink" Target="http://www.grida.no/publications/381" TargetMode="External"/><Relationship Id="rId189" Type="http://schemas.openxmlformats.org/officeDocument/2006/relationships/hyperlink" Target="https://portals.iucn.org/library/node/46966" TargetMode="External"/><Relationship Id="rId3" Type="http://schemas.microsoft.com/office/2007/relationships/stylesWithEffects" Target="stylesWithEffects.xml"/><Relationship Id="rId25" Type="http://schemas.openxmlformats.org/officeDocument/2006/relationships/hyperlink" Target="http://www.wraptoolkit.org" TargetMode="External"/><Relationship Id="rId46" Type="http://schemas.openxmlformats.org/officeDocument/2006/relationships/hyperlink" Target="http://www.ramsar.org/sites/default/files/documents/library/key_res_viii_04_f.pdf" TargetMode="External"/><Relationship Id="rId67" Type="http://schemas.openxmlformats.org/officeDocument/2006/relationships/hyperlink" Target="https://www.ramsar.org/document/the-relationship-of-indigenous-peoples-and-local-communities-with-wetlands" TargetMode="External"/><Relationship Id="rId116" Type="http://schemas.openxmlformats.org/officeDocument/2006/relationships/hyperlink" Target="http://www.gwp.org/Global/ToolBox/References/Guidance%20Manual%20on%20Value%20Transfer%20Methods%20for%20Ecosystem%20Services%20(UNEP,%202013).pdf" TargetMode="External"/><Relationship Id="rId137" Type="http://schemas.openxmlformats.org/officeDocument/2006/relationships/hyperlink" Target="http://www.ramsar.org/sites/default/files/documents/library/key_res_viii_17_f.pdf" TargetMode="External"/><Relationship Id="rId158" Type="http://schemas.openxmlformats.org/officeDocument/2006/relationships/hyperlink" Target="https://portals.iucn.org/library/efiles/edocs/2003-021-Fr.pdf" TargetMode="External"/><Relationship Id="rId20" Type="http://schemas.openxmlformats.org/officeDocument/2006/relationships/hyperlink" Target="http://www.ramsar.org/sites/default/files/documents/library/lib_rtr02.pdf" TargetMode="External"/><Relationship Id="rId41" Type="http://schemas.openxmlformats.org/officeDocument/2006/relationships/hyperlink" Target="http://www.ramsar.org/sites/default/files/documents/library/key_res_x_16_f.pdf" TargetMode="External"/><Relationship Id="rId62" Type="http://schemas.openxmlformats.org/officeDocument/2006/relationships/hyperlink" Target="http://www.ramsar.org/sites/default/files/documents/library/rtr7-disease.pdf" TargetMode="External"/><Relationship Id="rId83" Type="http://schemas.openxmlformats.org/officeDocument/2006/relationships/hyperlink" Target="https://www.ramsar.org/document/ramsar-policy-brief-1-wetlands-for-disaster-risk-reduction-effective-choices-for-resilient" TargetMode="External"/><Relationship Id="rId88" Type="http://schemas.openxmlformats.org/officeDocument/2006/relationships/hyperlink" Target="http://www.ramsar.org/sites/default/files/documents/pdf/lib/rtr6-health.pdf" TargetMode="External"/><Relationship Id="rId111" Type="http://schemas.openxmlformats.org/officeDocument/2006/relationships/hyperlink" Target="http://www.iwmi.cgiar.org/Publications/IWMI_Research_Reports/PDF/pub090/RR90.pdf" TargetMode="External"/><Relationship Id="rId132" Type="http://schemas.openxmlformats.org/officeDocument/2006/relationships/hyperlink" Target="http://www.ramsar.org/sites/default/files/documents/pdf/res/key_res_x_17_f.pdf" TargetMode="External"/><Relationship Id="rId153" Type="http://schemas.openxmlformats.org/officeDocument/2006/relationships/hyperlink" Target="https://portals.iucn.org/library/node/44769" TargetMode="External"/><Relationship Id="rId174" Type="http://schemas.openxmlformats.org/officeDocument/2006/relationships/header" Target="header1.xml"/><Relationship Id="rId179" Type="http://schemas.openxmlformats.org/officeDocument/2006/relationships/hyperlink" Target="http://www.ramsar.org/sites/default/files/documents/library/key_res_viii_16_f.pdf" TargetMode="External"/><Relationship Id="rId195" Type="http://schemas.openxmlformats.org/officeDocument/2006/relationships/hyperlink" Target="https://portals.iucn.org/library/node/44887" TargetMode="External"/><Relationship Id="rId190" Type="http://schemas.openxmlformats.org/officeDocument/2006/relationships/hyperlink" Target="https://portals.iucn.org/library/node/46398" TargetMode="External"/><Relationship Id="rId204" Type="http://schemas.openxmlformats.org/officeDocument/2006/relationships/hyperlink" Target="http://www.nwf.org/~/media/PDFs/Global-Warming/Climate-Smart-Conservation/2014/Restoring-the-Great-Lakes-Coastal-Future-032114.pdf" TargetMode="External"/><Relationship Id="rId15" Type="http://schemas.openxmlformats.org/officeDocument/2006/relationships/hyperlink" Target="http://www.ramsar.org/sites/default/files/documents/library/key_res_viii_06_f.pdf" TargetMode="External"/><Relationship Id="rId36" Type="http://schemas.openxmlformats.org/officeDocument/2006/relationships/hyperlink" Target="http://www.ramsar.org/sites/default/files/documents/library/cop11-res09-f.pdf" TargetMode="External"/><Relationship Id="rId57" Type="http://schemas.openxmlformats.org/officeDocument/2006/relationships/hyperlink" Target="http://www.ramsar.org/sites/default/files/documents/pdf/cop11/doc/cop11-doc24-e-limits.pdf" TargetMode="External"/><Relationship Id="rId106" Type="http://schemas.openxmlformats.org/officeDocument/2006/relationships/hyperlink" Target="https://portals.iucn.org/library/efiles/documents/2009-015.pdf" TargetMode="External"/><Relationship Id="rId127" Type="http://schemas.openxmlformats.org/officeDocument/2006/relationships/hyperlink" Target="http://www.ramsar.org/sites/default/files/documents/pdf/cop11/res/cop11-res07-f.pdf" TargetMode="External"/><Relationship Id="rId10" Type="http://schemas.openxmlformats.org/officeDocument/2006/relationships/hyperlink" Target="http://www.ramsar.org/sites/default/files/documents/pdf/cop11/res/cop11-res12-f.pdf" TargetMode="External"/><Relationship Id="rId31" Type="http://schemas.openxmlformats.org/officeDocument/2006/relationships/hyperlink" Target="http://bestcat.org.s3.amazonaws.com/index.html" TargetMode="External"/><Relationship Id="rId52" Type="http://schemas.openxmlformats.org/officeDocument/2006/relationships/hyperlink" Target="http://www.ramsar.org/sites/default/files/documents/library/key_res_viii_36_f.pdf" TargetMode="External"/><Relationship Id="rId73" Type="http://schemas.openxmlformats.org/officeDocument/2006/relationships/hyperlink" Target="https://portals.iucn.org/library/sites/library/files/documents/2005-072.pdf" TargetMode="External"/><Relationship Id="rId78" Type="http://schemas.openxmlformats.org/officeDocument/2006/relationships/hyperlink" Target="http://cmsdata.iucn.org/downloads/teeb_water_wetlands_report___full_report_1.pdf" TargetMode="External"/><Relationship Id="rId94" Type="http://schemas.openxmlformats.org/officeDocument/2006/relationships/hyperlink" Target="https://www.ipbes.net/assessment-reports/pollinators" TargetMode="External"/><Relationship Id="rId99" Type="http://schemas.openxmlformats.org/officeDocument/2006/relationships/hyperlink" Target="https://www.ipbes.net/assessment-reports/eca" TargetMode="External"/><Relationship Id="rId101" Type="http://schemas.openxmlformats.org/officeDocument/2006/relationships/hyperlink" Target="https://portals.iucn.org/library/node/47805http:/www2.ecolex.org/server2neu.php/libcat/docs/LI/MON-093835.pdf" TargetMode="External"/><Relationship Id="rId122" Type="http://schemas.openxmlformats.org/officeDocument/2006/relationships/hyperlink" Target="https://www.environment.gov.au/water/wetlands/publications/literature-review-economic-value-ecosystem-services-wetlands-provide" TargetMode="External"/><Relationship Id="rId143" Type="http://schemas.openxmlformats.org/officeDocument/2006/relationships/hyperlink" Target="https://www.ramsar.org/document/wetlands-and-the-sdgs" TargetMode="External"/><Relationship Id="rId148" Type="http://schemas.openxmlformats.org/officeDocument/2006/relationships/hyperlink" Target="https://www.iucn.org/content/water-management-and-stewardship" TargetMode="External"/><Relationship Id="rId164" Type="http://schemas.openxmlformats.org/officeDocument/2006/relationships/hyperlink" Target="http://www.ramsar.org/sites/default/files/documents/pdf/cop11/tourism-publication/Ramsar_UNWTO_tourism_F_Sept2012.pdf" TargetMode="External"/><Relationship Id="rId169" Type="http://schemas.openxmlformats.org/officeDocument/2006/relationships/hyperlink" Target="http://www.nature.org/ourinitiatives/applying-the-mitigation-hierarchy.pdf" TargetMode="External"/><Relationship Id="rId185" Type="http://schemas.openxmlformats.org/officeDocument/2006/relationships/hyperlink" Target="http://wedocs.unep.org/bitstream/handle/20.500.11822/22919/smoke_water_peatland_FR.pdf?sequence=3&amp;isAllowed=y" TargetMode="External"/><Relationship Id="rId4" Type="http://schemas.openxmlformats.org/officeDocument/2006/relationships/settings" Target="settings.xml"/><Relationship Id="rId9" Type="http://schemas.openxmlformats.org/officeDocument/2006/relationships/hyperlink" Target="http://www.ramsar.org/sites/default/files/documents/library/cop12_res15_management_effectiveness_f_0.pdf" TargetMode="External"/><Relationship Id="rId180" Type="http://schemas.openxmlformats.org/officeDocument/2006/relationships/hyperlink" Target="http://www.ramsar.org/sites/default/files/documents/pdf/cop10/cop10_doc25_e.pdf" TargetMode="External"/><Relationship Id="rId26" Type="http://schemas.openxmlformats.org/officeDocument/2006/relationships/hyperlink" Target="https://portals.iucn.org/library/efiles/documents/2009-015.pdf" TargetMode="External"/><Relationship Id="rId47" Type="http://schemas.openxmlformats.org/officeDocument/2006/relationships/hyperlink" Target="http://www.ramsar.org/sites/default/files/documents/library/key_res_viii_14_f.pdf" TargetMode="External"/><Relationship Id="rId68" Type="http://schemas.openxmlformats.org/officeDocument/2006/relationships/hyperlink" Target="https://portals.iucn.org/library/node/46176" TargetMode="External"/><Relationship Id="rId89" Type="http://schemas.openxmlformats.org/officeDocument/2006/relationships/hyperlink" Target="http://www.ramsar.org/sites/default/files/documents/library/cop10_culture_group_f.pdf" TargetMode="External"/><Relationship Id="rId112" Type="http://schemas.openxmlformats.org/officeDocument/2006/relationships/hyperlink" Target="http://cmsdata.iucn.org/downloads/teeb_water_wetlands_report___full_report_1.pdf" TargetMode="External"/><Relationship Id="rId133" Type="http://schemas.openxmlformats.org/officeDocument/2006/relationships/hyperlink" Target="http://www.ramsar.org/sites/default/files/documents/library/key_res_x_19_f.pdf" TargetMode="External"/><Relationship Id="rId154" Type="http://schemas.openxmlformats.org/officeDocument/2006/relationships/hyperlink" Target="https://cmsdata.iucn.org/downloads/version_francaise_1.pdf" TargetMode="External"/><Relationship Id="rId175" Type="http://schemas.openxmlformats.org/officeDocument/2006/relationships/footer" Target="footer1.xml"/><Relationship Id="rId196" Type="http://schemas.openxmlformats.org/officeDocument/2006/relationships/hyperlink" Target="https://portals.iucn.org/library/node/9842" TargetMode="External"/><Relationship Id="rId200" Type="http://schemas.openxmlformats.org/officeDocument/2006/relationships/hyperlink" Target="http://cmsdata.iucn.org/downloads/teeb_water_wetlands_report___full_report_1.pdf" TargetMode="External"/><Relationship Id="rId16" Type="http://schemas.openxmlformats.org/officeDocument/2006/relationships/hyperlink" Target="http://www.ramsar.org/sites/default/files/documents/library/key_res_vii.10f.pdf" TargetMode="External"/><Relationship Id="rId37" Type="http://schemas.openxmlformats.org/officeDocument/2006/relationships/hyperlink" Target="http://www.ramsar.org/sites/default/files/documents/pdf/cop11/res/cop11-res11-f.pdf" TargetMode="External"/><Relationship Id="rId58" Type="http://schemas.openxmlformats.org/officeDocument/2006/relationships/hyperlink" Target="http://www.ramsar.org/sites/default/files/documents/pdf/cop11/res/cop11-res04-f.pdf" TargetMode="External"/><Relationship Id="rId79" Type="http://schemas.openxmlformats.org/officeDocument/2006/relationships/hyperlink" Target="http://www.ramsar.org/sites/default/files/documents/pdf/cop11/tourism-publication/Ramsar_UNWTO_tourism_F_Sept2012.pdf" TargetMode="External"/><Relationship Id="rId102" Type="http://schemas.openxmlformats.org/officeDocument/2006/relationships/hyperlink" Target="https://portals.iucn.org/library/sites/library/files/documents/PAG-028-En.pdf" TargetMode="External"/><Relationship Id="rId123" Type="http://schemas.openxmlformats.org/officeDocument/2006/relationships/hyperlink" Target="https://www.global-wetland-outlook.ramsar.org/outlook/" TargetMode="External"/><Relationship Id="rId144" Type="http://schemas.openxmlformats.org/officeDocument/2006/relationships/hyperlink" Target="https://knowledge.unccd.int/publication/full-report" TargetMode="External"/><Relationship Id="rId90" Type="http://schemas.openxmlformats.org/officeDocument/2006/relationships/hyperlink" Target="http://www.ramsar.org/sites/default/files/documents/library/key_res_viii_19_f.pdf" TargetMode="External"/><Relationship Id="rId165" Type="http://schemas.openxmlformats.org/officeDocument/2006/relationships/hyperlink" Target="https://www.cbd.int/tourism/doc/tourism-manual-2015-en.pdf" TargetMode="External"/><Relationship Id="rId186" Type="http://schemas.openxmlformats.org/officeDocument/2006/relationships/hyperlink" Target="https://www.ipcc.ch/sr15/" TargetMode="External"/><Relationship Id="rId27" Type="http://schemas.openxmlformats.org/officeDocument/2006/relationships/hyperlink" Target="https://portals.iucn.org/library/sites/library/files/documents/2003-121.pdf" TargetMode="External"/><Relationship Id="rId48" Type="http://schemas.openxmlformats.org/officeDocument/2006/relationships/hyperlink" Target="http://www.ramsar.org/sites/default/files/documents/library/key_res_viii_16_f.pdf" TargetMode="External"/><Relationship Id="rId69" Type="http://schemas.openxmlformats.org/officeDocument/2006/relationships/hyperlink" Target="https://portals.iucn.org/library/node/47142" TargetMode="External"/><Relationship Id="rId113" Type="http://schemas.openxmlformats.org/officeDocument/2006/relationships/hyperlink" Target="http://www.millenniumassessment.org/documents/document.358.aspx.pdf" TargetMode="External"/><Relationship Id="rId134" Type="http://schemas.openxmlformats.org/officeDocument/2006/relationships/hyperlink" Target="http://www.ramsar.org/sites/default/files/documents/pdf/res/key_res_ix_04_f.pdf" TargetMode="External"/><Relationship Id="rId80" Type="http://schemas.openxmlformats.org/officeDocument/2006/relationships/hyperlink" Target="http://www.environment.gov.au/indigenous/ipa/toolkit/pubs/guidelines.pdf" TargetMode="External"/><Relationship Id="rId155" Type="http://schemas.openxmlformats.org/officeDocument/2006/relationships/hyperlink" Target="https://portals.iucn.org/library/node/9094" TargetMode="External"/><Relationship Id="rId176" Type="http://schemas.openxmlformats.org/officeDocument/2006/relationships/hyperlink" Target="https://www.ramsar.org/document/resolution-xiii12-guidance-on-identifying-peatlands-as-wetlands-of-international-importance" TargetMode="External"/><Relationship Id="rId197" Type="http://schemas.openxmlformats.org/officeDocument/2006/relationships/hyperlink" Target="https://portals.iucn.org/library/node/8368" TargetMode="External"/><Relationship Id="rId201" Type="http://schemas.openxmlformats.org/officeDocument/2006/relationships/hyperlink" Target="http://www.unep.org/pdf/Guiding_principles_for_delivering_coastal_wetland_projects.pdf" TargetMode="External"/><Relationship Id="rId17" Type="http://schemas.openxmlformats.org/officeDocument/2006/relationships/hyperlink" Target="http://www.ramsar.org/sites/default/files/documents/pdf/cop11/doc/cop11-doc24-e-limits.pdf" TargetMode="External"/><Relationship Id="rId38" Type="http://schemas.openxmlformats.org/officeDocument/2006/relationships/hyperlink" Target="http://www.ramsar.org/sites/default/files/documents/pdf/cop11/res/cop11-res12-f.pdf" TargetMode="External"/><Relationship Id="rId59" Type="http://schemas.openxmlformats.org/officeDocument/2006/relationships/hyperlink" Target="http://www.ramsar.org/sites/default/files/documents/pdf/cop10/cop10_doc33_e.pdf" TargetMode="External"/><Relationship Id="rId103" Type="http://schemas.openxmlformats.org/officeDocument/2006/relationships/hyperlink" Target="http://www.birdlife.org/worldwide/science/assessing-ecosystem-services-tessa" TargetMode="External"/><Relationship Id="rId124" Type="http://schemas.openxmlformats.org/officeDocument/2006/relationships/hyperlink" Target="https://www.global-wetland-outlook.ramsar.org/outlook/" TargetMode="External"/><Relationship Id="rId70" Type="http://schemas.openxmlformats.org/officeDocument/2006/relationships/hyperlink" Target="https://portals.iucn.org/library/node/46825" TargetMode="External"/><Relationship Id="rId91" Type="http://schemas.openxmlformats.org/officeDocument/2006/relationships/hyperlink" Target="http://www.ramsar.org/sites/default/files/documents/pdf/res/key_res_ix_21_f.pdf" TargetMode="External"/><Relationship Id="rId145" Type="http://schemas.openxmlformats.org/officeDocument/2006/relationships/hyperlink" Target="https://www.ramsar.org/news/good-practices-handbook-integrating-urban-development-and-wetland-conservation" TargetMode="External"/><Relationship Id="rId166" Type="http://schemas.openxmlformats.org/officeDocument/2006/relationships/hyperlink" Target="http://www.millenniumassessment.org/documents/document.358.aspx.pdf" TargetMode="External"/><Relationship Id="rId187" Type="http://schemas.openxmlformats.org/officeDocument/2006/relationships/hyperlink" Target="https://portals.iucn.org/library/node/46685" TargetMode="External"/><Relationship Id="rId1" Type="http://schemas.openxmlformats.org/officeDocument/2006/relationships/customXml" Target="../customXml/item1.xml"/><Relationship Id="rId28" Type="http://schemas.openxmlformats.org/officeDocument/2006/relationships/hyperlink" Target="https://portals.iucn.org/library/node/9577" TargetMode="External"/><Relationship Id="rId49" Type="http://schemas.openxmlformats.org/officeDocument/2006/relationships/hyperlink" Target="http://www.ramsar.org/sites/default/files/documents/library/key_res_viii_17_f.pdf" TargetMode="External"/><Relationship Id="rId114" Type="http://schemas.openxmlformats.org/officeDocument/2006/relationships/hyperlink" Target="http://esvaluation.org/" TargetMode="External"/><Relationship Id="rId60" Type="http://schemas.openxmlformats.org/officeDocument/2006/relationships/hyperlink" Target="http://www.ramsar.org/sites/default/files/documents/pdf/cop10/cop10_doc27_e.pdf" TargetMode="External"/><Relationship Id="rId81" Type="http://schemas.openxmlformats.org/officeDocument/2006/relationships/hyperlink" Target="http://www.ir.undp.org/content/dam/iran/docs/Publications/Environment%20&amp;%20Sustainable%20Development/Towards%20a%20Community%20of%20Practice%20of%20Wetland%20Project%20ManagementENG.pdf" TargetMode="External"/><Relationship Id="rId135" Type="http://schemas.openxmlformats.org/officeDocument/2006/relationships/hyperlink" Target="http://www.ramsar.org/sites/default/files/documents/library/key_res_viii_01_f_0.pdf" TargetMode="External"/><Relationship Id="rId156" Type="http://schemas.openxmlformats.org/officeDocument/2006/relationships/hyperlink" Target="https://portals.iucn.org/library/node/9902" TargetMode="External"/><Relationship Id="rId177" Type="http://schemas.openxmlformats.org/officeDocument/2006/relationships/hyperlink" Target="https://www.ramsar.org/document/resolution-xiii13-restoration-of-degraded-peatlands-to-mitigate-and-adapt-to-climate-change" TargetMode="External"/><Relationship Id="rId198" Type="http://schemas.openxmlformats.org/officeDocument/2006/relationships/hyperlink" Target="http://www.wetlands.org/Portals/0/publications/Report/peatlands%20-%20guidance%20for%20mitigation%20updated%20report%20Nov%202012.pdf" TargetMode="External"/><Relationship Id="rId202" Type="http://schemas.openxmlformats.org/officeDocument/2006/relationships/hyperlink" Target="http://www.ramsar.org/sites/default/files/documents/library/ny_2._korrektur_anp_peatland.pdf" TargetMode="External"/><Relationship Id="rId18" Type="http://schemas.openxmlformats.org/officeDocument/2006/relationships/hyperlink" Target="http://www.ramsar.org/sites/default/files/documents/pdf/cop11/res/cop11-res04-f.pdf" TargetMode="External"/><Relationship Id="rId39" Type="http://schemas.openxmlformats.org/officeDocument/2006/relationships/hyperlink" Target="http://www.ramsar.org/sites/default/files/documents/pdf/cop11/res/cop11-res13-f.pdf" TargetMode="External"/><Relationship Id="rId50" Type="http://schemas.openxmlformats.org/officeDocument/2006/relationships/hyperlink" Target="http://www.ramsar.org/sites/default/files/documents/library/key_res_viii_20_f.pdf" TargetMode="External"/><Relationship Id="rId104" Type="http://schemas.openxmlformats.org/officeDocument/2006/relationships/hyperlink" Target="https://portals.iucn.org/library/efiles/documents/PAG-002.pdf" TargetMode="External"/><Relationship Id="rId125" Type="http://schemas.openxmlformats.org/officeDocument/2006/relationships/hyperlink" Target="https://www.ramsar.org/document/briefing-note-8-ramsar-advisory-missions-technical-advice-on-ramsar-sites" TargetMode="External"/><Relationship Id="rId146" Type="http://schemas.openxmlformats.org/officeDocument/2006/relationships/hyperlink" Target="https://medwet.org/publications/med-wetlands-outlook-2-2018/" TargetMode="External"/><Relationship Id="rId167" Type="http://schemas.openxmlformats.org/officeDocument/2006/relationships/hyperlink" Target="http://s00.static-shell.com/content/dam/shell/static/environment-society/downloads/environment/biodiversity/baps.pdf" TargetMode="External"/><Relationship Id="rId188" Type="http://schemas.openxmlformats.org/officeDocument/2006/relationships/hyperlink" Target="http://pubs.iied.org/17460IIED/" TargetMode="External"/><Relationship Id="rId71" Type="http://schemas.openxmlformats.org/officeDocument/2006/relationships/hyperlink" Target="http://wraptoolkit.ruc.dk/" TargetMode="External"/><Relationship Id="rId92" Type="http://schemas.openxmlformats.org/officeDocument/2006/relationships/hyperlink" Target="http://www.ramsar.org/sites/default/files/documents/library/lib_valuation_f.pdf" TargetMode="External"/><Relationship Id="rId2" Type="http://schemas.openxmlformats.org/officeDocument/2006/relationships/styles" Target="styles.xml"/><Relationship Id="rId29" Type="http://schemas.openxmlformats.org/officeDocument/2006/relationships/hyperlink" Target="https://portals.iucn.org/library/node/43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8DCB0-A898-46AC-AD02-7A30D1115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44</Pages>
  <Words>17087</Words>
  <Characters>97396</Characters>
  <Application>Microsoft Office Word</Application>
  <DocSecurity>0</DocSecurity>
  <Lines>811</Lines>
  <Paragraphs>228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114255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Ramsar\BonellsM</dc:creator>
  <cp:lastModifiedBy>Ramsar Secretariat</cp:lastModifiedBy>
  <cp:revision>10</cp:revision>
  <cp:lastPrinted>2015-12-15T01:11:00Z</cp:lastPrinted>
  <dcterms:created xsi:type="dcterms:W3CDTF">2019-04-03T12:52:00Z</dcterms:created>
  <dcterms:modified xsi:type="dcterms:W3CDTF">2019-04-04T15:21:00Z</dcterms:modified>
</cp:coreProperties>
</file>