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43" w:rsidRPr="00796D43" w:rsidRDefault="00796D43" w:rsidP="00D763AF">
      <w:pPr>
        <w:pStyle w:val="yiv7679874839msonormal"/>
        <w:shd w:val="clear" w:color="auto" w:fill="FFFFFF"/>
        <w:ind w:left="-142"/>
        <w:rPr>
          <w:rFonts w:asciiTheme="minorHAnsi" w:hAnsiTheme="minorHAnsi" w:cstheme="minorHAnsi"/>
          <w:color w:val="1D2228"/>
          <w:sz w:val="22"/>
          <w:szCs w:val="22"/>
          <w:lang w:val="fr-CH"/>
        </w:rPr>
      </w:pPr>
      <w:bookmarkStart w:id="0" w:name="_GoBack"/>
      <w:bookmarkEnd w:id="0"/>
      <w:r w:rsidRPr="00796D43">
        <w:rPr>
          <w:rFonts w:asciiTheme="minorHAnsi" w:hAnsiTheme="minorHAnsi" w:cstheme="minorHAnsi"/>
          <w:b/>
          <w:bCs/>
          <w:sz w:val="22"/>
          <w:szCs w:val="22"/>
          <w:lang w:val="fr-CH"/>
        </w:rPr>
        <w:t>Objet </w:t>
      </w:r>
      <w:r w:rsidRPr="00796D43">
        <w:rPr>
          <w:rFonts w:asciiTheme="minorHAnsi" w:hAnsiTheme="minorHAnsi" w:cstheme="minorHAnsi"/>
          <w:b/>
          <w:bCs/>
          <w:color w:val="1F497D"/>
          <w:sz w:val="22"/>
          <w:szCs w:val="22"/>
          <w:lang w:val="fr-CH"/>
        </w:rPr>
        <w:t>:</w:t>
      </w:r>
      <w:r w:rsidRPr="00796D43">
        <w:rPr>
          <w:rFonts w:asciiTheme="minorHAnsi" w:hAnsiTheme="minorHAnsi" w:cstheme="minorHAnsi"/>
          <w:b/>
          <w:bCs/>
          <w:color w:val="1D2228"/>
          <w:sz w:val="22"/>
          <w:szCs w:val="22"/>
          <w:lang w:val="fr-CH"/>
        </w:rPr>
        <w:t xml:space="preserve"> Décisions prises par le Comité permanent dans la période intersessions, de mars à mai 2021, et mise à jour des discussions concernant la 59</w:t>
      </w:r>
      <w:r w:rsidRPr="00796D43">
        <w:rPr>
          <w:rFonts w:asciiTheme="minorHAnsi" w:hAnsiTheme="minorHAnsi" w:cstheme="minorHAnsi"/>
          <w:b/>
          <w:bCs/>
          <w:color w:val="1D2228"/>
          <w:sz w:val="22"/>
          <w:szCs w:val="22"/>
          <w:vertAlign w:val="superscript"/>
          <w:lang w:val="fr-CH"/>
        </w:rPr>
        <w:t>e</w:t>
      </w:r>
      <w:r w:rsidRPr="00796D43">
        <w:rPr>
          <w:rFonts w:asciiTheme="minorHAnsi" w:hAnsiTheme="minorHAnsi" w:cstheme="minorHAnsi"/>
          <w:b/>
          <w:bCs/>
          <w:color w:val="1D2228"/>
          <w:sz w:val="22"/>
          <w:szCs w:val="22"/>
          <w:lang w:val="fr-CH"/>
        </w:rPr>
        <w:t> Réunion du Comité permanent et les dates de la COP14</w:t>
      </w:r>
      <w:r w:rsidRPr="00796D43">
        <w:rPr>
          <w:rFonts w:asciiTheme="minorHAnsi" w:hAnsiTheme="minorHAnsi" w:cstheme="minorHAnsi"/>
          <w:b/>
          <w:bCs/>
          <w:sz w:val="22"/>
          <w:szCs w:val="22"/>
          <w:lang w:val="fr-CH"/>
        </w:rPr>
        <w:t xml:space="preserve"> </w:t>
      </w:r>
    </w:p>
    <w:p w:rsidR="00796D43" w:rsidRDefault="00796D43" w:rsidP="00D763AF">
      <w:pPr>
        <w:pStyle w:val="yiv7679874839msonormal"/>
        <w:shd w:val="clear" w:color="auto" w:fill="FFFFFF"/>
        <w:ind w:left="-142" w:hanging="142"/>
        <w:rPr>
          <w:rFonts w:asciiTheme="minorHAnsi" w:hAnsiTheme="minorHAnsi" w:cstheme="minorHAnsi"/>
          <w:color w:val="1D2228"/>
          <w:sz w:val="22"/>
          <w:szCs w:val="22"/>
          <w:lang w:val="fr-CH"/>
        </w:rPr>
      </w:pPr>
      <w:r w:rsidRPr="00796D43">
        <w:rPr>
          <w:rFonts w:asciiTheme="minorHAnsi" w:hAnsiTheme="minorHAnsi" w:cstheme="minorHAnsi"/>
          <w:b/>
          <w:bCs/>
          <w:color w:val="1D2228"/>
          <w:sz w:val="22"/>
          <w:szCs w:val="22"/>
          <w:lang w:val="fr-CH"/>
        </w:rPr>
        <w:t> </w:t>
      </w:r>
      <w:r>
        <w:rPr>
          <w:rFonts w:asciiTheme="minorHAnsi" w:hAnsiTheme="minorHAnsi" w:cstheme="minorHAnsi"/>
          <w:b/>
          <w:bCs/>
          <w:color w:val="1D2228"/>
          <w:sz w:val="22"/>
          <w:szCs w:val="22"/>
          <w:lang w:val="fr-CH"/>
        </w:rPr>
        <w:t xml:space="preserve">  </w:t>
      </w:r>
      <w:r w:rsidRPr="00796D43">
        <w:rPr>
          <w:rFonts w:asciiTheme="minorHAnsi" w:hAnsiTheme="minorHAnsi" w:cstheme="minorHAnsi"/>
          <w:color w:val="1D2228"/>
          <w:sz w:val="22"/>
          <w:szCs w:val="22"/>
          <w:lang w:val="fr-CH"/>
        </w:rPr>
        <w:t>Suite aux messages envoyés le 1</w:t>
      </w:r>
      <w:r w:rsidRPr="00796D43">
        <w:rPr>
          <w:rFonts w:asciiTheme="minorHAnsi" w:hAnsiTheme="minorHAnsi" w:cstheme="minorHAnsi"/>
          <w:color w:val="1D2228"/>
          <w:sz w:val="22"/>
          <w:szCs w:val="22"/>
          <w:vertAlign w:val="superscript"/>
          <w:lang w:val="fr-CH"/>
        </w:rPr>
        <w:t>er</w:t>
      </w:r>
      <w:r w:rsidRPr="00796D43">
        <w:rPr>
          <w:rFonts w:asciiTheme="minorHAnsi" w:hAnsiTheme="minorHAnsi" w:cstheme="minorHAnsi"/>
          <w:color w:val="1D2228"/>
          <w:sz w:val="22"/>
          <w:szCs w:val="22"/>
          <w:lang w:val="fr-CH"/>
        </w:rPr>
        <w:t> mars et le 20 mai 2021, informant les Parties contractantes des décisions intersessions du Comité permanent, le Secrétariat a le plaisir d’annoncer aux Parties contractantes que les décisions suivantes ont été prises par le Comité permanent dans la période intersessions, de mars à mai 2021:</w:t>
      </w:r>
    </w:p>
    <w:p w:rsidR="00B07933" w:rsidRPr="00442EBD" w:rsidRDefault="00B07933" w:rsidP="00B07933">
      <w:pPr>
        <w:autoSpaceDE w:val="0"/>
        <w:autoSpaceDN w:val="0"/>
        <w:adjustRightInd w:val="0"/>
        <w:spacing w:after="0" w:line="240" w:lineRule="auto"/>
        <w:ind w:left="-142"/>
        <w:rPr>
          <w:rFonts w:cstheme="minorHAnsi"/>
          <w:bCs/>
          <w:lang w:val="fr-FR"/>
        </w:rPr>
      </w:pPr>
      <w:r w:rsidRPr="00442EBD">
        <w:rPr>
          <w:rFonts w:cstheme="minorHAnsi"/>
          <w:bCs/>
          <w:lang w:val="fr-FR"/>
        </w:rPr>
        <w:t>16 mars 2021 :</w:t>
      </w:r>
    </w:p>
    <w:p w:rsidR="00B07933" w:rsidRPr="00442EBD" w:rsidRDefault="00B07933" w:rsidP="00B07933">
      <w:pPr>
        <w:autoSpaceDE w:val="0"/>
        <w:autoSpaceDN w:val="0"/>
        <w:adjustRightInd w:val="0"/>
        <w:spacing w:after="0" w:line="240" w:lineRule="auto"/>
        <w:rPr>
          <w:rFonts w:cstheme="minorHAnsi"/>
          <w:b/>
          <w:bCs/>
          <w:lang w:val="fr-FR"/>
        </w:rPr>
      </w:pPr>
    </w:p>
    <w:p w:rsidR="00B07933" w:rsidRPr="00F44FAF" w:rsidRDefault="00B07933" w:rsidP="00B07933">
      <w:pPr>
        <w:autoSpaceDE w:val="0"/>
        <w:autoSpaceDN w:val="0"/>
        <w:adjustRightInd w:val="0"/>
        <w:spacing w:after="0" w:line="240" w:lineRule="auto"/>
        <w:ind w:left="-142"/>
        <w:rPr>
          <w:rFonts w:cstheme="minorHAnsi"/>
          <w:b/>
          <w:bCs/>
          <w:lang w:val="fr-FR"/>
        </w:rPr>
      </w:pPr>
      <w:r w:rsidRPr="00442EBD">
        <w:rPr>
          <w:rFonts w:cstheme="minorHAnsi"/>
          <w:b/>
          <w:bCs/>
          <w:lang w:val="fr-FR"/>
        </w:rPr>
        <w:t>Décision intersessions 09 Post-SC58 :</w:t>
      </w:r>
      <w:r w:rsidRPr="00F44FAF">
        <w:rPr>
          <w:rFonts w:cstheme="minorHAnsi"/>
          <w:b/>
          <w:bCs/>
          <w:lang w:val="fr-FR"/>
        </w:rPr>
        <w:t xml:space="preserve"> </w:t>
      </w:r>
      <w:r w:rsidRPr="002E3037">
        <w:rPr>
          <w:b/>
          <w:bCs/>
          <w:lang w:val="fr-FR"/>
        </w:rPr>
        <w:t>Le Comité permanent approuve l’affectation supplémentaire d’un montant maximum de 17 000 CHF provenant d’un report à partir du poste « Services juridiques » du budget administratif 2020 aux fins de la réalisation d’une étude sur le plan financier et en termes de procédures des différentes options décrites dans l’« Analyse indépendante du statut juridique du Secrétariat de la Convention sur les zones humides », et ce en complément de la somme de 15 000 CHF déjà attribuée, sur demande du Groupe de travail du Comité permanent sur le statut d’observateur, tout en précisant que des points de vue divergents ont été exprimés au sein du Sous-groupe s’agissant du calendrier et du montant du financement demandé.</w:t>
      </w:r>
    </w:p>
    <w:p w:rsidR="00B07933" w:rsidRPr="00287AFF" w:rsidRDefault="00B07933" w:rsidP="00B07933">
      <w:pPr>
        <w:autoSpaceDE w:val="0"/>
        <w:autoSpaceDN w:val="0"/>
        <w:adjustRightInd w:val="0"/>
        <w:spacing w:after="0" w:line="240" w:lineRule="auto"/>
        <w:rPr>
          <w:rFonts w:cstheme="minorHAnsi"/>
          <w:b/>
          <w:bCs/>
          <w:lang w:val="fr-FR"/>
        </w:rPr>
      </w:pPr>
    </w:p>
    <w:p w:rsidR="00B07933" w:rsidRDefault="00B07933" w:rsidP="00B07933">
      <w:pPr>
        <w:tabs>
          <w:tab w:val="left" w:pos="0"/>
        </w:tabs>
        <w:spacing w:after="0" w:line="240" w:lineRule="auto"/>
        <w:ind w:left="567" w:hanging="709"/>
        <w:rPr>
          <w:rFonts w:cstheme="minorHAnsi"/>
          <w:bCs/>
          <w:lang w:val="fr-CH"/>
        </w:rPr>
      </w:pPr>
      <w:r>
        <w:rPr>
          <w:rFonts w:cstheme="minorHAnsi"/>
          <w:bCs/>
          <w:lang w:val="fr-CH"/>
        </w:rPr>
        <w:t>29 mars 2021 :</w:t>
      </w:r>
    </w:p>
    <w:p w:rsidR="00B07933" w:rsidRDefault="00B07933" w:rsidP="00B07933">
      <w:pPr>
        <w:spacing w:after="0" w:line="240" w:lineRule="auto"/>
        <w:ind w:left="567" w:hanging="567"/>
        <w:rPr>
          <w:rFonts w:cstheme="minorHAnsi"/>
          <w:bCs/>
          <w:lang w:val="fr-CH"/>
        </w:rPr>
      </w:pPr>
    </w:p>
    <w:p w:rsidR="00B07933" w:rsidRPr="00255F56" w:rsidRDefault="00B07933" w:rsidP="00B07933">
      <w:pPr>
        <w:autoSpaceDE w:val="0"/>
        <w:autoSpaceDN w:val="0"/>
        <w:adjustRightInd w:val="0"/>
        <w:spacing w:after="0" w:line="240" w:lineRule="auto"/>
        <w:ind w:left="-142"/>
        <w:rPr>
          <w:rFonts w:cstheme="minorHAnsi"/>
          <w:b/>
          <w:bCs/>
          <w:lang w:val="fr-FR"/>
        </w:rPr>
      </w:pPr>
      <w:r w:rsidRPr="00442EBD">
        <w:rPr>
          <w:rFonts w:cstheme="minorHAnsi"/>
          <w:b/>
          <w:bCs/>
          <w:lang w:val="fr-FR"/>
        </w:rPr>
        <w:t xml:space="preserve">Décision intersessions </w:t>
      </w:r>
      <w:r>
        <w:rPr>
          <w:rFonts w:cstheme="minorHAnsi"/>
          <w:b/>
          <w:bCs/>
          <w:lang w:val="fr-FR"/>
        </w:rPr>
        <w:t>10</w:t>
      </w:r>
      <w:r w:rsidRPr="00442EBD">
        <w:rPr>
          <w:rFonts w:cstheme="minorHAnsi"/>
          <w:b/>
          <w:bCs/>
          <w:lang w:val="fr-FR"/>
        </w:rPr>
        <w:t xml:space="preserve"> Post-SC58</w:t>
      </w:r>
      <w:r>
        <w:rPr>
          <w:rFonts w:cstheme="minorHAnsi"/>
          <w:b/>
          <w:bCs/>
          <w:lang w:val="fr-FR"/>
        </w:rPr>
        <w:t xml:space="preserve"> : </w:t>
      </w:r>
      <w:r w:rsidRPr="00255F56">
        <w:rPr>
          <w:rFonts w:cstheme="minorHAnsi"/>
          <w:b/>
          <w:bCs/>
          <w:lang w:val="fr-FR"/>
        </w:rPr>
        <w:t>Le Comité permanent approuve le processus de préparation et d’examen des projets de résolutions présenté dans le document SC58 Doc.20.4 Rev.5, mis à jour avec les commentaires reflétant les interventions du groupe consultatif sur l’examen des Résolutions et Décisions du Comité permanent, ainsi que les interventions de membres du Comité permanent.</w:t>
      </w:r>
      <w:r>
        <w:rPr>
          <w:rStyle w:val="FootnoteReference"/>
          <w:rFonts w:cstheme="minorHAnsi"/>
          <w:b/>
          <w:bCs/>
          <w:lang w:val="fr-FR"/>
        </w:rPr>
        <w:footnoteReference w:id="1"/>
      </w:r>
    </w:p>
    <w:p w:rsidR="00B07933" w:rsidRDefault="00B07933" w:rsidP="00B07933">
      <w:pPr>
        <w:rPr>
          <w:rFonts w:cstheme="minorHAnsi"/>
          <w:lang w:val="fr-FR"/>
        </w:rPr>
      </w:pPr>
    </w:p>
    <w:p w:rsidR="00B07933" w:rsidRDefault="00B07933" w:rsidP="00B07933">
      <w:pPr>
        <w:ind w:left="-142"/>
        <w:rPr>
          <w:rFonts w:cstheme="minorHAnsi"/>
          <w:lang w:val="fr-FR"/>
        </w:rPr>
      </w:pPr>
      <w:r>
        <w:rPr>
          <w:rFonts w:cstheme="minorHAnsi"/>
          <w:lang w:val="fr-FR"/>
        </w:rPr>
        <w:t>20 mai 2021 :</w:t>
      </w:r>
    </w:p>
    <w:p w:rsidR="00B07933" w:rsidRPr="006E1199" w:rsidRDefault="00B07933" w:rsidP="00B07933">
      <w:pPr>
        <w:pStyle w:val="NormalWeb"/>
        <w:ind w:left="-142"/>
        <w:rPr>
          <w:rFonts w:eastAsiaTheme="minorHAnsi"/>
          <w:b/>
          <w:i/>
          <w:lang w:val="fr-FR"/>
        </w:rPr>
      </w:pPr>
      <w:r w:rsidRPr="00F3027A">
        <w:rPr>
          <w:rFonts w:asciiTheme="minorHAnsi" w:hAnsiTheme="minorHAnsi" w:cstheme="minorHAnsi"/>
          <w:b/>
          <w:bCs/>
          <w:sz w:val="22"/>
          <w:szCs w:val="22"/>
          <w:lang w:val="fr-FR"/>
        </w:rPr>
        <w:t>Décision intersessions 1</w:t>
      </w:r>
      <w:r>
        <w:rPr>
          <w:rFonts w:asciiTheme="minorHAnsi" w:hAnsiTheme="minorHAnsi" w:cstheme="minorHAnsi"/>
          <w:b/>
          <w:bCs/>
          <w:sz w:val="22"/>
          <w:szCs w:val="22"/>
          <w:lang w:val="fr-FR"/>
        </w:rPr>
        <w:t>1</w:t>
      </w:r>
      <w:r w:rsidRPr="00F3027A">
        <w:rPr>
          <w:rFonts w:asciiTheme="minorHAnsi" w:hAnsiTheme="minorHAnsi" w:cstheme="minorHAnsi"/>
          <w:b/>
          <w:bCs/>
          <w:sz w:val="22"/>
          <w:szCs w:val="22"/>
          <w:lang w:val="fr-FR"/>
        </w:rPr>
        <w:t xml:space="preserve"> Post-SC58 : </w:t>
      </w:r>
      <w:r w:rsidRPr="006E1199">
        <w:rPr>
          <w:rStyle w:val="Emphasis"/>
          <w:rFonts w:ascii="Calibri" w:hAnsi="Calibri" w:cs="Calibri"/>
          <w:b/>
          <w:i w:val="0"/>
          <w:sz w:val="22"/>
          <w:szCs w:val="22"/>
          <w:lang w:val="fr-FR"/>
        </w:rPr>
        <w:t>Le Comité permanent donne instruction au Secrétariat d’informer immédiatement les Parties contractantes que la</w:t>
      </w:r>
      <w:r w:rsidRPr="006E1199">
        <w:rPr>
          <w:rStyle w:val="Emphasis"/>
          <w:rFonts w:ascii="Calibri" w:hAnsi="Calibri" w:cs="Calibri"/>
          <w:b/>
          <w:i w:val="0"/>
          <w:sz w:val="21"/>
          <w:szCs w:val="21"/>
          <w:lang w:val="fr-FR"/>
        </w:rPr>
        <w:t xml:space="preserve"> 59</w:t>
      </w:r>
      <w:r w:rsidRPr="006E1199">
        <w:rPr>
          <w:rStyle w:val="Emphasis"/>
          <w:rFonts w:ascii="Calibri" w:hAnsi="Calibri" w:cs="Calibri"/>
          <w:b/>
          <w:i w:val="0"/>
          <w:sz w:val="21"/>
          <w:szCs w:val="21"/>
          <w:vertAlign w:val="superscript"/>
          <w:lang w:val="fr-FR"/>
        </w:rPr>
        <w:t>e</w:t>
      </w:r>
      <w:r w:rsidRPr="006E1199">
        <w:rPr>
          <w:rStyle w:val="Emphasis"/>
          <w:rFonts w:ascii="Calibri" w:hAnsi="Calibri" w:cs="Calibri"/>
          <w:b/>
          <w:i w:val="0"/>
          <w:sz w:val="21"/>
          <w:szCs w:val="21"/>
          <w:lang w:val="fr-FR"/>
        </w:rPr>
        <w:t xml:space="preserve"> Réunion du Comité permanent n’aura pas lieu en présentiel, en juin 2021, qu’un processus relatif aux points de l’ordre du jour de la 59</w:t>
      </w:r>
      <w:r w:rsidRPr="006E1199">
        <w:rPr>
          <w:rStyle w:val="Emphasis"/>
          <w:rFonts w:ascii="Calibri" w:hAnsi="Calibri" w:cs="Calibri"/>
          <w:b/>
          <w:i w:val="0"/>
          <w:sz w:val="21"/>
          <w:szCs w:val="21"/>
          <w:vertAlign w:val="superscript"/>
          <w:lang w:val="fr-FR"/>
        </w:rPr>
        <w:t>e</w:t>
      </w:r>
      <w:r w:rsidRPr="006E1199">
        <w:rPr>
          <w:rStyle w:val="Emphasis"/>
          <w:rFonts w:ascii="Calibri" w:hAnsi="Calibri" w:cs="Calibri"/>
          <w:b/>
          <w:i w:val="0"/>
          <w:sz w:val="21"/>
          <w:szCs w:val="21"/>
          <w:lang w:val="fr-FR"/>
        </w:rPr>
        <w:t xml:space="preserve"> Réunion du Comité permanent est en train d’être préparé, et qu’une nouvelle date possible pour la soumission des projets de résolutions sera communiquée dans le cadre du processus révisé pour la COP14.</w:t>
      </w:r>
    </w:p>
    <w:p w:rsidR="00A00915" w:rsidRPr="00B07933" w:rsidRDefault="00A00915" w:rsidP="00D763AF">
      <w:pPr>
        <w:pStyle w:val="yiv7679874839msonormal"/>
        <w:shd w:val="clear" w:color="auto" w:fill="FFFFFF"/>
        <w:ind w:left="-142" w:hanging="142"/>
        <w:rPr>
          <w:rFonts w:asciiTheme="minorHAnsi" w:hAnsiTheme="minorHAnsi" w:cstheme="minorHAnsi"/>
          <w:sz w:val="22"/>
          <w:szCs w:val="22"/>
          <w:lang w:val="fr-CH"/>
        </w:rPr>
      </w:pPr>
      <w:r>
        <w:rPr>
          <w:rFonts w:asciiTheme="minorHAnsi" w:hAnsiTheme="minorHAnsi" w:cstheme="minorHAnsi"/>
          <w:color w:val="1D2228"/>
          <w:sz w:val="22"/>
          <w:szCs w:val="22"/>
          <w:lang w:val="fr-CH"/>
        </w:rPr>
        <w:t xml:space="preserve">  </w:t>
      </w:r>
      <w:r w:rsidRPr="00B07933">
        <w:rPr>
          <w:rFonts w:asciiTheme="minorHAnsi" w:hAnsiTheme="minorHAnsi" w:cstheme="minorHAnsi"/>
          <w:sz w:val="22"/>
          <w:szCs w:val="22"/>
          <w:lang w:val="fr-CH"/>
        </w:rPr>
        <w:t>27 mai 2021</w:t>
      </w:r>
    </w:p>
    <w:p w:rsidR="00D763AF" w:rsidRPr="00F01A40" w:rsidRDefault="00D763AF" w:rsidP="00F01A40">
      <w:pPr>
        <w:pStyle w:val="yiv7679874839msonormal"/>
        <w:shd w:val="clear" w:color="auto" w:fill="FFFFFF"/>
        <w:spacing w:before="0" w:beforeAutospacing="0" w:after="0" w:afterAutospacing="0"/>
        <w:ind w:left="-142"/>
        <w:rPr>
          <w:rFonts w:asciiTheme="minorHAnsi" w:hAnsiTheme="minorHAnsi" w:cstheme="minorHAnsi"/>
          <w:color w:val="1D2228"/>
          <w:sz w:val="22"/>
          <w:szCs w:val="22"/>
          <w:lang w:val="fr-CH"/>
        </w:rPr>
      </w:pPr>
      <w:r w:rsidRPr="00F01A40">
        <w:rPr>
          <w:rFonts w:asciiTheme="minorHAnsi" w:hAnsiTheme="minorHAnsi" w:cstheme="minorHAnsi"/>
          <w:b/>
          <w:bCs/>
          <w:sz w:val="22"/>
          <w:szCs w:val="22"/>
          <w:lang w:val="fr-FR"/>
        </w:rPr>
        <w:t>Décision</w:t>
      </w:r>
      <w:r w:rsidR="00A00915">
        <w:rPr>
          <w:rFonts w:asciiTheme="minorHAnsi" w:hAnsiTheme="minorHAnsi" w:cstheme="minorHAnsi"/>
          <w:b/>
          <w:bCs/>
          <w:sz w:val="22"/>
          <w:szCs w:val="22"/>
          <w:lang w:val="fr-FR"/>
        </w:rPr>
        <w:t xml:space="preserve"> </w:t>
      </w:r>
      <w:r w:rsidR="00A00915" w:rsidRPr="00F3027A">
        <w:rPr>
          <w:rFonts w:asciiTheme="minorHAnsi" w:hAnsiTheme="minorHAnsi" w:cstheme="minorHAnsi"/>
          <w:b/>
          <w:bCs/>
          <w:sz w:val="22"/>
          <w:szCs w:val="22"/>
          <w:lang w:val="fr-FR"/>
        </w:rPr>
        <w:t>intersessions 1</w:t>
      </w:r>
      <w:r w:rsidR="00A00915">
        <w:rPr>
          <w:rFonts w:asciiTheme="minorHAnsi" w:hAnsiTheme="minorHAnsi" w:cstheme="minorHAnsi"/>
          <w:b/>
          <w:bCs/>
          <w:sz w:val="22"/>
          <w:szCs w:val="22"/>
          <w:lang w:val="fr-FR"/>
        </w:rPr>
        <w:t>2</w:t>
      </w:r>
      <w:r w:rsidR="00A00915" w:rsidRPr="00F3027A">
        <w:rPr>
          <w:rFonts w:asciiTheme="minorHAnsi" w:hAnsiTheme="minorHAnsi" w:cstheme="minorHAnsi"/>
          <w:b/>
          <w:bCs/>
          <w:sz w:val="22"/>
          <w:szCs w:val="22"/>
          <w:lang w:val="fr-FR"/>
        </w:rPr>
        <w:t xml:space="preserve"> Post-SC58</w:t>
      </w:r>
      <w:r w:rsidR="00A00915">
        <w:rPr>
          <w:rFonts w:asciiTheme="minorHAnsi" w:hAnsiTheme="minorHAnsi" w:cstheme="minorHAnsi"/>
          <w:b/>
          <w:bCs/>
          <w:sz w:val="22"/>
          <w:szCs w:val="22"/>
          <w:lang w:val="fr-FR"/>
        </w:rPr>
        <w:t xml:space="preserve">: </w:t>
      </w:r>
      <w:r w:rsidRPr="006E1199">
        <w:rPr>
          <w:rFonts w:asciiTheme="minorHAnsi" w:eastAsia="Malgun Gothic" w:hAnsiTheme="minorHAnsi" w:cstheme="minorHAnsi"/>
          <w:b/>
          <w:sz w:val="22"/>
          <w:szCs w:val="22"/>
          <w:lang w:val="fr-FR"/>
        </w:rPr>
        <w:t>Le Comité permanent prend note des consultations en cours du Sous-groupe sur la COP14 concernant les nouvelles dates de la COP14 au 4</w:t>
      </w:r>
      <w:r w:rsidRPr="006E1199">
        <w:rPr>
          <w:rFonts w:asciiTheme="minorHAnsi" w:eastAsia="Malgun Gothic" w:hAnsiTheme="minorHAnsi" w:cstheme="minorHAnsi"/>
          <w:b/>
          <w:sz w:val="22"/>
          <w:szCs w:val="22"/>
          <w:vertAlign w:val="superscript"/>
          <w:lang w:val="fr-FR"/>
        </w:rPr>
        <w:t>e</w:t>
      </w:r>
      <w:r w:rsidRPr="006E1199">
        <w:rPr>
          <w:rFonts w:asciiTheme="minorHAnsi" w:eastAsia="Malgun Gothic" w:hAnsiTheme="minorHAnsi" w:cstheme="minorHAnsi"/>
          <w:b/>
          <w:sz w:val="22"/>
          <w:szCs w:val="22"/>
          <w:lang w:val="fr-FR"/>
        </w:rPr>
        <w:t xml:space="preserve"> trimestre de 2022. Le Comité permanent attend, dès que possible, les nouvelles dates de la COP14.</w:t>
      </w:r>
      <w:r w:rsidRPr="00F01A40">
        <w:rPr>
          <w:rFonts w:asciiTheme="minorHAnsi" w:eastAsia="Malgun Gothic" w:hAnsiTheme="minorHAnsi" w:cstheme="minorHAnsi"/>
          <w:sz w:val="22"/>
          <w:szCs w:val="22"/>
          <w:lang w:val="fr-FR"/>
        </w:rPr>
        <w:t xml:space="preserve">   </w:t>
      </w:r>
    </w:p>
    <w:p w:rsidR="00F01A40" w:rsidRDefault="00F01A40" w:rsidP="00F01A40">
      <w:pPr>
        <w:spacing w:after="0" w:line="240" w:lineRule="auto"/>
        <w:ind w:left="-142"/>
        <w:rPr>
          <w:b/>
          <w:bCs/>
          <w:lang w:val="fr-FR"/>
        </w:rPr>
      </w:pPr>
    </w:p>
    <w:p w:rsidR="00F01A40" w:rsidRPr="00F01A40" w:rsidRDefault="00F01A40" w:rsidP="00A00915">
      <w:pPr>
        <w:spacing w:after="0" w:line="240" w:lineRule="auto"/>
        <w:ind w:left="-142"/>
        <w:rPr>
          <w:rFonts w:eastAsia="Malgun Gothic" w:cstheme="minorHAnsi"/>
          <w:iCs/>
          <w:lang w:val="fr-FR"/>
        </w:rPr>
      </w:pPr>
      <w:r w:rsidRPr="00F01A40">
        <w:rPr>
          <w:b/>
          <w:bCs/>
          <w:lang w:val="fr-FR"/>
        </w:rPr>
        <w:t xml:space="preserve">Décision </w:t>
      </w:r>
      <w:r w:rsidR="00A00915" w:rsidRPr="00F3027A">
        <w:rPr>
          <w:rFonts w:cstheme="minorHAnsi"/>
          <w:b/>
          <w:bCs/>
          <w:lang w:val="fr-FR"/>
        </w:rPr>
        <w:t>intersessions 1</w:t>
      </w:r>
      <w:r w:rsidR="00A00915">
        <w:rPr>
          <w:rFonts w:cstheme="minorHAnsi"/>
          <w:b/>
          <w:bCs/>
          <w:lang w:val="fr-FR"/>
        </w:rPr>
        <w:t>3</w:t>
      </w:r>
      <w:r w:rsidR="00A00915" w:rsidRPr="00F3027A">
        <w:rPr>
          <w:rFonts w:cstheme="minorHAnsi"/>
          <w:b/>
          <w:bCs/>
          <w:lang w:val="fr-FR"/>
        </w:rPr>
        <w:t xml:space="preserve"> Post-SC58</w:t>
      </w:r>
      <w:r w:rsidR="00A00915">
        <w:rPr>
          <w:rFonts w:cstheme="minorHAnsi"/>
          <w:b/>
          <w:bCs/>
          <w:lang w:val="fr-FR"/>
        </w:rPr>
        <w:t>:</w:t>
      </w:r>
      <w:r w:rsidR="00A00915">
        <w:rPr>
          <w:rFonts w:cstheme="minorHAnsi"/>
          <w:b/>
          <w:bCs/>
          <w:lang w:val="fr-FR"/>
        </w:rPr>
        <w:t xml:space="preserve"> </w:t>
      </w:r>
      <w:r w:rsidRPr="006E1199">
        <w:rPr>
          <w:rFonts w:eastAsia="Malgun Gothic" w:cstheme="minorHAnsi"/>
          <w:b/>
          <w:iCs/>
          <w:lang w:val="fr-FR"/>
        </w:rPr>
        <w:t>Le Comité permanent donne instruction au Secrétariat de collaborer avec le Comité exécutif pour proposer : un processus en vue de déterminer les points de l’ordre du jour de la 59</w:t>
      </w:r>
      <w:r w:rsidRPr="006E1199">
        <w:rPr>
          <w:rFonts w:eastAsia="Malgun Gothic" w:cstheme="minorHAnsi"/>
          <w:b/>
          <w:iCs/>
          <w:vertAlign w:val="superscript"/>
          <w:lang w:val="fr-FR"/>
        </w:rPr>
        <w:t>e</w:t>
      </w:r>
      <w:r w:rsidRPr="006E1199">
        <w:rPr>
          <w:rFonts w:eastAsia="Malgun Gothic" w:cstheme="minorHAnsi"/>
          <w:b/>
          <w:iCs/>
          <w:lang w:val="fr-FR"/>
        </w:rPr>
        <w:t xml:space="preserve"> Réunion du </w:t>
      </w:r>
      <w:bookmarkStart w:id="1" w:name="_Hlk72317136"/>
      <w:r w:rsidRPr="006E1199">
        <w:rPr>
          <w:rFonts w:eastAsia="Malgun Gothic" w:cstheme="minorHAnsi"/>
          <w:b/>
          <w:iCs/>
          <w:lang w:val="fr-FR"/>
        </w:rPr>
        <w:t xml:space="preserve">Comité permanent </w:t>
      </w:r>
      <w:bookmarkEnd w:id="1"/>
      <w:r w:rsidRPr="006E1199">
        <w:rPr>
          <w:rFonts w:eastAsia="Malgun Gothic" w:cstheme="minorHAnsi"/>
          <w:b/>
          <w:iCs/>
          <w:lang w:val="fr-FR"/>
        </w:rPr>
        <w:t xml:space="preserve">qui sont sensibles au temps et nécessitent une décision, par exemple le budget et le plan de travail ; les questions qui peuvent être reportées ; les réunions régionales pré-COP virtuelles ; une éventuelle réunion présentielle du Comité </w:t>
      </w:r>
      <w:r w:rsidRPr="006E1199">
        <w:rPr>
          <w:rFonts w:eastAsia="Malgun Gothic" w:cstheme="minorHAnsi"/>
          <w:b/>
          <w:iCs/>
          <w:lang w:val="fr-FR"/>
        </w:rPr>
        <w:lastRenderedPageBreak/>
        <w:t>permanent en</w:t>
      </w:r>
      <w:r w:rsidRPr="00F01A40">
        <w:rPr>
          <w:rFonts w:eastAsia="Malgun Gothic" w:cstheme="minorHAnsi"/>
          <w:iCs/>
          <w:lang w:val="fr-FR"/>
        </w:rPr>
        <w:t xml:space="preserve"> </w:t>
      </w:r>
      <w:r w:rsidRPr="006E1199">
        <w:rPr>
          <w:rFonts w:eastAsia="Malgun Gothic" w:cstheme="minorHAnsi"/>
          <w:b/>
          <w:iCs/>
          <w:lang w:val="fr-FR"/>
        </w:rPr>
        <w:t>2022 ; et un nouveau calendrier possible pour la soumission des projets de résolutions. Cette proposition sera communiquée au Comité permanent pour examen et décision</w:t>
      </w:r>
      <w:r w:rsidRPr="00F01A40">
        <w:rPr>
          <w:rFonts w:eastAsia="Malgun Gothic" w:cstheme="minorHAnsi"/>
          <w:iCs/>
          <w:lang w:val="fr-FR"/>
        </w:rPr>
        <w:t xml:space="preserve">. </w:t>
      </w:r>
    </w:p>
    <w:p w:rsidR="00F01A40" w:rsidRDefault="00F01A40" w:rsidP="00F01A40">
      <w:pPr>
        <w:spacing w:after="0" w:line="240" w:lineRule="auto"/>
        <w:ind w:left="-142"/>
        <w:rPr>
          <w:b/>
          <w:bCs/>
          <w:lang w:val="fr-FR"/>
        </w:rPr>
      </w:pPr>
    </w:p>
    <w:p w:rsidR="00F01A40" w:rsidRPr="006E1199" w:rsidRDefault="00A00915" w:rsidP="00F01A40">
      <w:pPr>
        <w:spacing w:after="0" w:line="240" w:lineRule="auto"/>
        <w:ind w:left="-142"/>
        <w:rPr>
          <w:rFonts w:eastAsia="Malgun Gothic" w:cstheme="minorHAnsi"/>
          <w:b/>
          <w:lang w:val="fr-FR"/>
        </w:rPr>
      </w:pPr>
      <w:r w:rsidRPr="00F01A40">
        <w:rPr>
          <w:b/>
          <w:bCs/>
          <w:lang w:val="fr-FR"/>
        </w:rPr>
        <w:t xml:space="preserve">Décision </w:t>
      </w:r>
      <w:r w:rsidRPr="00F3027A">
        <w:rPr>
          <w:rFonts w:cstheme="minorHAnsi"/>
          <w:b/>
          <w:bCs/>
          <w:lang w:val="fr-FR"/>
        </w:rPr>
        <w:t>intersessions 1</w:t>
      </w:r>
      <w:r>
        <w:rPr>
          <w:rFonts w:cstheme="minorHAnsi"/>
          <w:b/>
          <w:bCs/>
          <w:lang w:val="fr-FR"/>
        </w:rPr>
        <w:t>4</w:t>
      </w:r>
      <w:r w:rsidRPr="00F3027A">
        <w:rPr>
          <w:rFonts w:cstheme="minorHAnsi"/>
          <w:b/>
          <w:bCs/>
          <w:lang w:val="fr-FR"/>
        </w:rPr>
        <w:t xml:space="preserve"> Post-SC58</w:t>
      </w:r>
      <w:r>
        <w:rPr>
          <w:rFonts w:cstheme="minorHAnsi"/>
          <w:b/>
          <w:bCs/>
          <w:lang w:val="fr-FR"/>
        </w:rPr>
        <w:t>:</w:t>
      </w:r>
      <w:r>
        <w:rPr>
          <w:rFonts w:cstheme="minorHAnsi"/>
          <w:b/>
          <w:bCs/>
          <w:lang w:val="fr-FR"/>
        </w:rPr>
        <w:t xml:space="preserve"> </w:t>
      </w:r>
      <w:r w:rsidR="00F01A40" w:rsidRPr="006E1199">
        <w:rPr>
          <w:rFonts w:eastAsia="Malgun Gothic" w:cstheme="minorHAnsi"/>
          <w:b/>
          <w:iCs/>
          <w:lang w:val="fr-FR"/>
        </w:rPr>
        <w:t>Le Comité permanent demande au Secrétariat de collaborer avec le Comité exécutif pour analyser les aspects juridiques et les conséquences que les changements proposés pourraient avoir sur d’autres questions de gouvernance et pour suggérer des moyens de les traiter</w:t>
      </w:r>
      <w:r w:rsidR="00F01A40" w:rsidRPr="006E1199">
        <w:rPr>
          <w:rFonts w:eastAsia="Malgun Gothic" w:cstheme="minorHAnsi"/>
          <w:b/>
          <w:lang w:val="fr-FR"/>
        </w:rPr>
        <w:t>.</w:t>
      </w:r>
    </w:p>
    <w:p w:rsidR="006E1199" w:rsidRDefault="006E1199" w:rsidP="00F01A40">
      <w:pPr>
        <w:spacing w:after="0" w:line="240" w:lineRule="auto"/>
        <w:ind w:left="-142"/>
        <w:rPr>
          <w:rFonts w:eastAsia="Malgun Gothic" w:cstheme="minorHAnsi"/>
          <w:lang w:val="fr-FR"/>
        </w:rPr>
      </w:pPr>
    </w:p>
    <w:p w:rsidR="006E1199" w:rsidRDefault="00796D43" w:rsidP="006E1199">
      <w:pPr>
        <w:pStyle w:val="yiv7679874839msonormal"/>
        <w:shd w:val="clear" w:color="auto" w:fill="FFFFFF"/>
        <w:spacing w:before="0" w:beforeAutospacing="0" w:after="0" w:afterAutospacing="0"/>
        <w:ind w:left="-142"/>
        <w:rPr>
          <w:rFonts w:asciiTheme="minorHAnsi" w:hAnsiTheme="minorHAnsi" w:cstheme="minorHAnsi"/>
          <w:color w:val="1D2228"/>
          <w:sz w:val="22"/>
          <w:szCs w:val="22"/>
          <w:lang w:val="fr-CH"/>
        </w:rPr>
      </w:pPr>
      <w:r w:rsidRPr="006E1199">
        <w:rPr>
          <w:rFonts w:asciiTheme="minorHAnsi" w:hAnsiTheme="minorHAnsi" w:cstheme="minorHAnsi"/>
          <w:color w:val="1D2228"/>
          <w:sz w:val="22"/>
          <w:szCs w:val="22"/>
          <w:lang w:val="fr-CH"/>
        </w:rPr>
        <w:t>Les décisions ci</w:t>
      </w:r>
      <w:r w:rsidRPr="006E1199">
        <w:rPr>
          <w:rFonts w:asciiTheme="minorHAnsi" w:hAnsiTheme="minorHAnsi" w:cstheme="minorHAnsi"/>
          <w:color w:val="1D2228"/>
          <w:sz w:val="22"/>
          <w:szCs w:val="22"/>
          <w:lang w:val="fr-CH"/>
        </w:rPr>
        <w:noBreakHyphen/>
        <w:t>dessus, ainsi que la liste des décisions intersessions du Comité permanent après sa réunion virtuelle (58</w:t>
      </w:r>
      <w:r w:rsidRPr="006E1199">
        <w:rPr>
          <w:rFonts w:asciiTheme="minorHAnsi" w:hAnsiTheme="minorHAnsi" w:cstheme="minorHAnsi"/>
          <w:color w:val="1D2228"/>
          <w:sz w:val="22"/>
          <w:szCs w:val="22"/>
          <w:vertAlign w:val="superscript"/>
          <w:lang w:val="fr-CH"/>
        </w:rPr>
        <w:t>e</w:t>
      </w:r>
      <w:r w:rsidRPr="006E1199">
        <w:rPr>
          <w:rFonts w:asciiTheme="minorHAnsi" w:hAnsiTheme="minorHAnsi" w:cstheme="minorHAnsi"/>
          <w:color w:val="1D2228"/>
          <w:sz w:val="22"/>
          <w:szCs w:val="22"/>
          <w:lang w:val="fr-CH"/>
        </w:rPr>
        <w:t> Réunion du Comité permanent), peuvent être consultées sur le site web de la Convention</w:t>
      </w:r>
      <w:r w:rsidR="006E1199">
        <w:rPr>
          <w:rFonts w:asciiTheme="minorHAnsi" w:hAnsiTheme="minorHAnsi" w:cstheme="minorHAnsi"/>
          <w:color w:val="1D2228"/>
          <w:sz w:val="22"/>
          <w:szCs w:val="22"/>
          <w:lang w:val="fr-CH"/>
        </w:rPr>
        <w:t>:</w:t>
      </w:r>
    </w:p>
    <w:p w:rsidR="006E1199" w:rsidRDefault="006E1199" w:rsidP="006E1199">
      <w:pPr>
        <w:pStyle w:val="yiv7679874839msonormal"/>
        <w:shd w:val="clear" w:color="auto" w:fill="FFFFFF"/>
        <w:spacing w:before="0" w:beforeAutospacing="0" w:after="0" w:afterAutospacing="0"/>
        <w:ind w:left="-142"/>
        <w:rPr>
          <w:rFonts w:asciiTheme="minorHAnsi" w:hAnsiTheme="minorHAnsi" w:cstheme="minorHAnsi"/>
          <w:color w:val="1D2228"/>
          <w:sz w:val="22"/>
          <w:szCs w:val="22"/>
          <w:lang w:val="fr-CH"/>
        </w:rPr>
      </w:pPr>
      <w:hyperlink r:id="rId6" w:history="1">
        <w:r w:rsidRPr="00B37FD1">
          <w:rPr>
            <w:rStyle w:val="Hyperlink"/>
            <w:rFonts w:asciiTheme="minorHAnsi" w:hAnsiTheme="minorHAnsi" w:cstheme="minorHAnsi"/>
            <w:sz w:val="22"/>
            <w:szCs w:val="22"/>
            <w:lang w:val="fr-CH"/>
          </w:rPr>
          <w:t>https://www.ramsar.org/fr/document/liste-des-decisions-intersessions-du-comite-permanent-prises-apres-sa-58e-reunion-virtuelle</w:t>
        </w:r>
      </w:hyperlink>
    </w:p>
    <w:p w:rsidR="006E1199" w:rsidRDefault="006E1199" w:rsidP="006E1199">
      <w:pPr>
        <w:pStyle w:val="yiv7679874839msonormal"/>
        <w:shd w:val="clear" w:color="auto" w:fill="FFFFFF"/>
        <w:ind w:left="-142"/>
        <w:rPr>
          <w:rFonts w:asciiTheme="minorHAnsi" w:hAnsiTheme="minorHAnsi" w:cstheme="minorHAnsi"/>
          <w:color w:val="1D2228"/>
          <w:sz w:val="22"/>
          <w:szCs w:val="22"/>
          <w:lang w:val="fr-CH"/>
        </w:rPr>
      </w:pPr>
    </w:p>
    <w:p w:rsidR="00796D43" w:rsidRPr="006E1199" w:rsidRDefault="00796D43" w:rsidP="006E1199">
      <w:pPr>
        <w:pStyle w:val="yiv7679874839msonormal"/>
        <w:shd w:val="clear" w:color="auto" w:fill="FFFFFF"/>
        <w:ind w:left="-142"/>
        <w:rPr>
          <w:rFonts w:asciiTheme="minorHAnsi" w:hAnsiTheme="minorHAnsi" w:cstheme="minorHAnsi"/>
          <w:color w:val="1D2228"/>
          <w:sz w:val="22"/>
          <w:szCs w:val="22"/>
          <w:lang w:val="fr-CH"/>
        </w:rPr>
      </w:pPr>
      <w:r w:rsidRPr="006E1199">
        <w:rPr>
          <w:rFonts w:asciiTheme="minorHAnsi" w:hAnsiTheme="minorHAnsi" w:cstheme="minorHAnsi"/>
          <w:color w:val="1D2228"/>
          <w:sz w:val="22"/>
          <w:szCs w:val="22"/>
          <w:lang w:val="fr-CH"/>
        </w:rPr>
        <w:t xml:space="preserve"> </w:t>
      </w:r>
    </w:p>
    <w:p w:rsidR="00796D43" w:rsidRPr="006E1199" w:rsidRDefault="00796D43" w:rsidP="00796D43">
      <w:pPr>
        <w:pStyle w:val="yiv7679874839msonormal"/>
        <w:shd w:val="clear" w:color="auto" w:fill="FFFFFF"/>
        <w:ind w:hanging="142"/>
        <w:rPr>
          <w:rFonts w:asciiTheme="minorHAnsi" w:hAnsiTheme="minorHAnsi" w:cstheme="minorHAnsi"/>
          <w:color w:val="1D2228"/>
          <w:sz w:val="22"/>
          <w:szCs w:val="22"/>
          <w:lang w:val="fr-CH"/>
        </w:rPr>
      </w:pPr>
    </w:p>
    <w:p w:rsidR="00796D43" w:rsidRDefault="00796D43" w:rsidP="00796D43">
      <w:pPr>
        <w:pStyle w:val="yiv7679874839msonormal"/>
        <w:shd w:val="clear" w:color="auto" w:fill="FFFFFF"/>
        <w:ind w:hanging="142"/>
        <w:rPr>
          <w:rFonts w:asciiTheme="minorHAnsi" w:hAnsiTheme="minorHAnsi" w:cstheme="minorHAnsi"/>
          <w:color w:val="1D2228"/>
          <w:sz w:val="22"/>
          <w:szCs w:val="22"/>
          <w:lang w:val="fr-CH"/>
        </w:rPr>
      </w:pPr>
    </w:p>
    <w:p w:rsidR="00796D43" w:rsidRPr="00796D43" w:rsidRDefault="00796D43" w:rsidP="00796D43">
      <w:pPr>
        <w:pStyle w:val="yiv7679874839msonormal"/>
        <w:shd w:val="clear" w:color="auto" w:fill="FFFFFF"/>
        <w:ind w:hanging="142"/>
        <w:rPr>
          <w:rFonts w:asciiTheme="minorHAnsi" w:hAnsiTheme="minorHAnsi" w:cstheme="minorHAnsi"/>
          <w:color w:val="1D2228"/>
          <w:sz w:val="22"/>
          <w:szCs w:val="22"/>
          <w:lang w:val="fr-CH"/>
        </w:rPr>
      </w:pPr>
    </w:p>
    <w:p w:rsidR="00796D43" w:rsidRPr="00796D43" w:rsidRDefault="00796D43" w:rsidP="00307B7E">
      <w:pPr>
        <w:spacing w:after="0"/>
        <w:rPr>
          <w:lang w:val="fr-CH"/>
        </w:rPr>
      </w:pPr>
    </w:p>
    <w:sectPr w:rsidR="00796D43" w:rsidRPr="00796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38" w:rsidRDefault="00D52D38" w:rsidP="00B07933">
      <w:pPr>
        <w:spacing w:after="0" w:line="240" w:lineRule="auto"/>
      </w:pPr>
      <w:r>
        <w:separator/>
      </w:r>
    </w:p>
  </w:endnote>
  <w:endnote w:type="continuationSeparator" w:id="0">
    <w:p w:rsidR="00D52D38" w:rsidRDefault="00D52D38" w:rsidP="00B0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38" w:rsidRDefault="00D52D38" w:rsidP="00B07933">
      <w:pPr>
        <w:spacing w:after="0" w:line="240" w:lineRule="auto"/>
      </w:pPr>
      <w:r>
        <w:separator/>
      </w:r>
    </w:p>
  </w:footnote>
  <w:footnote w:type="continuationSeparator" w:id="0">
    <w:p w:rsidR="00D52D38" w:rsidRDefault="00D52D38" w:rsidP="00B07933">
      <w:pPr>
        <w:spacing w:after="0" w:line="240" w:lineRule="auto"/>
      </w:pPr>
      <w:r>
        <w:continuationSeparator/>
      </w:r>
    </w:p>
  </w:footnote>
  <w:footnote w:id="1">
    <w:p w:rsidR="00B07933" w:rsidRPr="00F3027A" w:rsidRDefault="00B07933" w:rsidP="00B07933">
      <w:pPr>
        <w:pStyle w:val="FootnoteText"/>
        <w:rPr>
          <w:lang w:val="fr-FR"/>
        </w:rPr>
      </w:pPr>
      <w:r>
        <w:rPr>
          <w:rStyle w:val="FootnoteReference"/>
        </w:rPr>
        <w:footnoteRef/>
      </w:r>
      <w:r w:rsidRPr="00F3027A">
        <w:rPr>
          <w:lang w:val="fr-FR"/>
        </w:rPr>
        <w:t xml:space="preserve"> Voir </w:t>
      </w:r>
      <w:hyperlink r:id="rId1" w:history="1">
        <w:r w:rsidRPr="00F3027A">
          <w:rPr>
            <w:rStyle w:val="Hyperlink"/>
            <w:lang w:val="fr-FR"/>
          </w:rPr>
          <w:t>https://www.ramsar.org/fr/document/sc58-doc204-rev5-processus-de-preparation-soumission-et-examen-des-projets-de-resolutions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B4"/>
    <w:rsid w:val="00307B7E"/>
    <w:rsid w:val="005D1EB4"/>
    <w:rsid w:val="006E1199"/>
    <w:rsid w:val="00796D43"/>
    <w:rsid w:val="00A00915"/>
    <w:rsid w:val="00B07933"/>
    <w:rsid w:val="00D52D38"/>
    <w:rsid w:val="00D763AF"/>
    <w:rsid w:val="00E414F9"/>
    <w:rsid w:val="00F0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8524"/>
  <w15:chartTrackingRefBased/>
  <w15:docId w15:val="{926E0629-F4A0-4EC4-BFB8-18CB5BE7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679874839msonormal">
    <w:name w:val="yiv7679874839msonormal"/>
    <w:basedOn w:val="Normal"/>
    <w:rsid w:val="00796D4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FootnoteText">
    <w:name w:val="footnote text"/>
    <w:basedOn w:val="Normal"/>
    <w:link w:val="FootnoteTextChar"/>
    <w:uiPriority w:val="99"/>
    <w:semiHidden/>
    <w:unhideWhenUsed/>
    <w:rsid w:val="00B0793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0793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07933"/>
    <w:rPr>
      <w:vertAlign w:val="superscript"/>
    </w:rPr>
  </w:style>
  <w:style w:type="character" w:styleId="Hyperlink">
    <w:name w:val="Hyperlink"/>
    <w:basedOn w:val="DefaultParagraphFont"/>
    <w:uiPriority w:val="99"/>
    <w:unhideWhenUsed/>
    <w:rsid w:val="00B07933"/>
    <w:rPr>
      <w:color w:val="0563C1" w:themeColor="hyperlink"/>
      <w:u w:val="single"/>
    </w:rPr>
  </w:style>
  <w:style w:type="paragraph" w:styleId="NormalWeb">
    <w:name w:val="Normal (Web)"/>
    <w:basedOn w:val="Normal"/>
    <w:uiPriority w:val="99"/>
    <w:unhideWhenUsed/>
    <w:rsid w:val="00B07933"/>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7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sar.org/fr/document/liste-des-decisions-intersessions-du-comite-permanent-prises-apres-sa-58e-reunion-virtuelle"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sc58-doc204-rev5-processus-de-preparation-soumission-et-examen-des-projets-de-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Secretariat on Wetlands </cp:lastModifiedBy>
  <cp:revision>4</cp:revision>
  <dcterms:created xsi:type="dcterms:W3CDTF">2021-06-08T08:36:00Z</dcterms:created>
  <dcterms:modified xsi:type="dcterms:W3CDTF">2021-06-08T09:03:00Z</dcterms:modified>
</cp:coreProperties>
</file>